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2E98" w:rsidRPr="00EA2E98" w:rsidRDefault="00EA2E98" w:rsidP="00EA2E98">
      <w:pPr>
        <w:snapToGrid w:val="0"/>
        <w:spacing w:before="120" w:after="120"/>
        <w:jc w:val="center"/>
        <w:rPr>
          <w:rFonts w:asciiTheme="majorHAnsi" w:hAnsiTheme="majorHAnsi" w:cstheme="majorHAnsi"/>
          <w:b/>
        </w:rPr>
      </w:pPr>
      <w:bookmarkStart w:id="0" w:name="chuong_pl_29"/>
      <w:r w:rsidRPr="00EA2E98">
        <w:rPr>
          <w:rFonts w:asciiTheme="majorHAnsi" w:hAnsiTheme="majorHAnsi" w:cstheme="majorHAnsi"/>
          <w:b/>
        </w:rPr>
        <w:t>PHỤ LỤC XXV</w:t>
      </w:r>
      <w:bookmarkEnd w:id="0"/>
    </w:p>
    <w:p w:rsidR="00EA2E98" w:rsidRPr="00EA2E98" w:rsidRDefault="00EA2E98" w:rsidP="00EA2E98">
      <w:pPr>
        <w:snapToGrid w:val="0"/>
        <w:spacing w:before="120" w:after="120"/>
        <w:jc w:val="center"/>
        <w:rPr>
          <w:rFonts w:asciiTheme="majorHAnsi" w:hAnsiTheme="majorHAnsi" w:cstheme="majorHAnsi"/>
        </w:rPr>
      </w:pPr>
      <w:bookmarkStart w:id="1" w:name="chuong_pl_29_name"/>
      <w:r w:rsidRPr="00EA2E98">
        <w:rPr>
          <w:rFonts w:asciiTheme="majorHAnsi" w:hAnsiTheme="majorHAnsi" w:cstheme="majorHAnsi"/>
        </w:rPr>
        <w:t>MẪU BÁO CÁO TỔNG KẾT HOẠT ĐỘNG QUẢN LÝ QUỸ/CÔNG TY ĐẦU TƯ CHỨNG KHOÁN BÁN NIÊN, NĂM</w:t>
      </w:r>
      <w:bookmarkEnd w:id="1"/>
      <w:r w:rsidRPr="00EA2E98">
        <w:rPr>
          <w:rFonts w:asciiTheme="majorHAnsi" w:hAnsiTheme="majorHAnsi" w:cstheme="majorHAnsi"/>
        </w:rPr>
        <w:br/>
      </w:r>
      <w:r w:rsidRPr="00EA2E98">
        <w:rPr>
          <w:rFonts w:asciiTheme="majorHAnsi" w:hAnsiTheme="majorHAnsi" w:cstheme="majorHAnsi"/>
          <w:i/>
        </w:rPr>
        <w:t>(Ban hành kèm theo Thông tư số 98/2020/TT-BTC ngày 16 tháng 11 năm 2020 của Bộ trưởng Bộ Tài chính)</w:t>
      </w:r>
    </w:p>
    <w:tbl>
      <w:tblPr>
        <w:tblW w:w="5000" w:type="pct"/>
        <w:jc w:val="center"/>
        <w:tblLook w:val="01E0" w:firstRow="1" w:lastRow="1" w:firstColumn="1" w:lastColumn="1" w:noHBand="0" w:noVBand="0"/>
      </w:tblPr>
      <w:tblGrid>
        <w:gridCol w:w="2790"/>
        <w:gridCol w:w="5562"/>
      </w:tblGrid>
      <w:tr w:rsidR="00EA2E98" w:rsidRPr="00EA2E98" w:rsidTr="00924965">
        <w:trPr>
          <w:jc w:val="center"/>
        </w:trPr>
        <w:tc>
          <w:tcPr>
            <w:tcW w:w="2790" w:type="dxa"/>
          </w:tcPr>
          <w:p w:rsidR="00EA2E98" w:rsidRPr="00EA2E98" w:rsidRDefault="00EA2E98" w:rsidP="00EA2E98">
            <w:pPr>
              <w:snapToGrid w:val="0"/>
              <w:spacing w:before="120" w:after="120"/>
              <w:jc w:val="center"/>
              <w:rPr>
                <w:rFonts w:asciiTheme="majorHAnsi" w:eastAsia="Times New Roman" w:hAnsiTheme="majorHAnsi" w:cstheme="majorHAnsi"/>
                <w:b/>
              </w:rPr>
            </w:pPr>
            <w:r w:rsidRPr="00EA2E98">
              <w:rPr>
                <w:rFonts w:asciiTheme="majorHAnsi" w:eastAsia="Times New Roman" w:hAnsiTheme="majorHAnsi" w:cstheme="majorHAnsi"/>
                <w:b/>
              </w:rPr>
              <w:t>TÊN CÔNG TY</w:t>
            </w:r>
            <w:r w:rsidRPr="00EA2E98">
              <w:rPr>
                <w:rFonts w:asciiTheme="majorHAnsi" w:eastAsia="Times New Roman" w:hAnsiTheme="majorHAnsi" w:cstheme="majorHAnsi"/>
                <w:b/>
              </w:rPr>
              <w:br/>
              <w:t>QUẢN LÝ QUỸ</w:t>
            </w:r>
            <w:r w:rsidRPr="00EA2E98">
              <w:rPr>
                <w:rFonts w:asciiTheme="majorHAnsi" w:eastAsia="Times New Roman" w:hAnsiTheme="majorHAnsi" w:cstheme="majorHAnsi"/>
                <w:b/>
              </w:rPr>
              <w:br/>
              <w:t>-------</w:t>
            </w:r>
          </w:p>
        </w:tc>
        <w:tc>
          <w:tcPr>
            <w:tcW w:w="5562" w:type="dxa"/>
          </w:tcPr>
          <w:p w:rsidR="00EA2E98" w:rsidRPr="00EA2E98" w:rsidRDefault="00EA2E98" w:rsidP="00EA2E98">
            <w:pPr>
              <w:snapToGrid w:val="0"/>
              <w:spacing w:before="120" w:after="120"/>
              <w:jc w:val="center"/>
              <w:rPr>
                <w:rFonts w:asciiTheme="majorHAnsi" w:eastAsia="Times New Roman" w:hAnsiTheme="majorHAnsi" w:cstheme="majorHAnsi"/>
              </w:rPr>
            </w:pPr>
            <w:r w:rsidRPr="00EA2E98">
              <w:rPr>
                <w:rFonts w:asciiTheme="majorHAnsi" w:eastAsia="Times New Roman" w:hAnsiTheme="majorHAnsi" w:cstheme="majorHAnsi"/>
                <w:b/>
              </w:rPr>
              <w:t>CỘNG HÒA XÃ HỘI CHỦ NGHĨA VIỆT NAM</w:t>
            </w:r>
            <w:r w:rsidRPr="00EA2E98">
              <w:rPr>
                <w:rFonts w:asciiTheme="majorHAnsi" w:eastAsia="Times New Roman" w:hAnsiTheme="majorHAnsi" w:cstheme="majorHAnsi"/>
                <w:b/>
              </w:rPr>
              <w:br/>
              <w:t xml:space="preserve">Độc lập - Tự do - Hạnh phúc </w:t>
            </w:r>
            <w:r w:rsidRPr="00EA2E98">
              <w:rPr>
                <w:rFonts w:asciiTheme="majorHAnsi" w:eastAsia="Times New Roman" w:hAnsiTheme="majorHAnsi" w:cstheme="majorHAnsi"/>
                <w:b/>
              </w:rPr>
              <w:br/>
              <w:t>---------------</w:t>
            </w:r>
          </w:p>
        </w:tc>
      </w:tr>
      <w:tr w:rsidR="00EA2E98" w:rsidRPr="00EA2E98" w:rsidTr="00924965">
        <w:trPr>
          <w:jc w:val="center"/>
        </w:trPr>
        <w:tc>
          <w:tcPr>
            <w:tcW w:w="2790" w:type="dxa"/>
          </w:tcPr>
          <w:p w:rsidR="00EA2E98" w:rsidRPr="00EA2E98" w:rsidRDefault="00EA2E98" w:rsidP="00EA2E98">
            <w:pPr>
              <w:snapToGrid w:val="0"/>
              <w:spacing w:before="120" w:after="120"/>
              <w:jc w:val="center"/>
              <w:rPr>
                <w:rFonts w:asciiTheme="majorHAnsi" w:eastAsia="Times New Roman" w:hAnsiTheme="majorHAnsi" w:cstheme="majorHAnsi"/>
              </w:rPr>
            </w:pPr>
            <w:r w:rsidRPr="00EA2E98">
              <w:rPr>
                <w:rFonts w:asciiTheme="majorHAnsi" w:eastAsia="Times New Roman" w:hAnsiTheme="majorHAnsi" w:cstheme="majorHAnsi"/>
              </w:rPr>
              <w:t xml:space="preserve">Số: </w:t>
            </w:r>
          </w:p>
        </w:tc>
        <w:tc>
          <w:tcPr>
            <w:tcW w:w="5562" w:type="dxa"/>
          </w:tcPr>
          <w:p w:rsidR="00EA2E98" w:rsidRPr="00EA2E98" w:rsidRDefault="00EA2E98" w:rsidP="00EA2E98">
            <w:pPr>
              <w:snapToGrid w:val="0"/>
              <w:spacing w:before="120" w:after="120"/>
              <w:jc w:val="right"/>
              <w:rPr>
                <w:rFonts w:asciiTheme="majorHAnsi" w:eastAsia="Times New Roman" w:hAnsiTheme="majorHAnsi" w:cstheme="majorHAnsi"/>
                <w:i/>
              </w:rPr>
            </w:pPr>
            <w:r w:rsidRPr="00EA2E98">
              <w:rPr>
                <w:rFonts w:asciiTheme="majorHAnsi" w:eastAsia="Times New Roman" w:hAnsiTheme="majorHAnsi" w:cstheme="majorHAnsi"/>
                <w:i/>
              </w:rPr>
              <w:t>…., ngày … tháng … năm …</w:t>
            </w:r>
          </w:p>
        </w:tc>
      </w:tr>
    </w:tbl>
    <w:p w:rsidR="00EA2E98" w:rsidRPr="00EA2E98" w:rsidRDefault="00EA2E98" w:rsidP="00EA2E98">
      <w:pPr>
        <w:snapToGrid w:val="0"/>
        <w:spacing w:before="120" w:after="120"/>
        <w:jc w:val="center"/>
        <w:rPr>
          <w:rFonts w:asciiTheme="majorHAnsi" w:hAnsiTheme="majorHAnsi" w:cstheme="majorHAnsi"/>
        </w:rPr>
      </w:pPr>
    </w:p>
    <w:p w:rsidR="00EA2E98" w:rsidRPr="00EA2E98" w:rsidRDefault="00EA2E98" w:rsidP="00EA2E98">
      <w:pPr>
        <w:snapToGrid w:val="0"/>
        <w:spacing w:before="120" w:after="120"/>
        <w:jc w:val="center"/>
        <w:rPr>
          <w:rFonts w:asciiTheme="majorHAnsi" w:hAnsiTheme="majorHAnsi" w:cstheme="majorHAnsi"/>
          <w:b/>
          <w:sz w:val="28"/>
        </w:rPr>
      </w:pPr>
      <w:r w:rsidRPr="00EA2E98">
        <w:rPr>
          <w:rFonts w:asciiTheme="majorHAnsi" w:hAnsiTheme="majorHAnsi" w:cstheme="majorHAnsi"/>
          <w:b/>
          <w:sz w:val="28"/>
        </w:rPr>
        <w:t>BÁO CÁO</w:t>
      </w:r>
    </w:p>
    <w:p w:rsidR="00EA2E98" w:rsidRPr="00924965" w:rsidRDefault="00EA2E98" w:rsidP="00EA2E98">
      <w:pPr>
        <w:snapToGrid w:val="0"/>
        <w:spacing w:before="120" w:after="120"/>
        <w:jc w:val="center"/>
        <w:rPr>
          <w:rFonts w:asciiTheme="majorHAnsi" w:hAnsiTheme="majorHAnsi" w:cstheme="majorHAnsi"/>
          <w:b/>
        </w:rPr>
      </w:pPr>
      <w:r w:rsidRPr="00924965">
        <w:rPr>
          <w:rFonts w:asciiTheme="majorHAnsi" w:hAnsiTheme="majorHAnsi" w:cstheme="majorHAnsi"/>
          <w:b/>
        </w:rPr>
        <w:t>Tổng kết hoạt động quản lý quỹ/công ty đầu tư chứng khoán</w:t>
      </w:r>
      <w:r w:rsidRPr="00924965">
        <w:rPr>
          <w:rFonts w:asciiTheme="majorHAnsi" w:hAnsiTheme="majorHAnsi" w:cstheme="majorHAnsi"/>
          <w:b/>
        </w:rPr>
        <w:br/>
        <w:t>(6 tháng, năm)</w:t>
      </w:r>
    </w:p>
    <w:p w:rsidR="00EA2E98" w:rsidRPr="00EA2E98" w:rsidRDefault="00EA2E98" w:rsidP="00EA2E98">
      <w:pPr>
        <w:snapToGrid w:val="0"/>
        <w:spacing w:before="120" w:after="120"/>
        <w:jc w:val="center"/>
        <w:rPr>
          <w:rFonts w:asciiTheme="majorHAnsi" w:hAnsiTheme="majorHAnsi" w:cstheme="majorHAnsi"/>
        </w:rPr>
      </w:pPr>
      <w:r w:rsidRPr="00EA2E98">
        <w:rPr>
          <w:rFonts w:asciiTheme="majorHAnsi" w:hAnsiTheme="majorHAnsi" w:cstheme="majorHAnsi"/>
        </w:rPr>
        <w:t>Kính gửi: Ủy ban Chứng khoán Nhà nước</w:t>
      </w:r>
    </w:p>
    <w:p w:rsidR="00EA2E98" w:rsidRPr="00EA2E98" w:rsidRDefault="00EA2E98" w:rsidP="00924965">
      <w:pPr>
        <w:snapToGrid w:val="0"/>
        <w:spacing w:before="120" w:after="120"/>
        <w:jc w:val="both"/>
        <w:rPr>
          <w:rFonts w:asciiTheme="majorHAnsi" w:hAnsiTheme="majorHAnsi" w:cstheme="majorHAnsi"/>
          <w:b/>
        </w:rPr>
      </w:pPr>
      <w:r w:rsidRPr="00EA2E98">
        <w:rPr>
          <w:rFonts w:asciiTheme="majorHAnsi" w:hAnsiTheme="majorHAnsi" w:cstheme="majorHAnsi"/>
          <w:b/>
        </w:rPr>
        <w:t>1. Thông tin về quỹ/công ty đầu tư chứng khoán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a) Tên của quỹ/công ty đầu tư chứng khoán, loại hình quỹ/công ty đầu tư chứng khoán;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b) Mục tiêu đầu tư của quỹ/công ty đầu tư chứng khoán;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c) Thời hạn hoạt động của quỹ/công ty đầu tư chứng khoán (nếu có);</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d) Danh mục tham chiếu (benchmark portfolio) (nếu có);</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e) Chính sách phân chia lợi nhuận;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f) Số lượng đơn vị quỹ/cổ phiếu công ty đầu tư chứng khoán đang lưu hành;</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g) Nội dung thay đổi tại Điều lệ quỹ/Điều lệ công ty đầu tư chứng khoán trong kỳ báo cáo (nếu có);</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h) Nội dung Nghị quyết Đại hội nhà đầu tư/Đại hội đồng cổ đông trong kỳ báo cáo (nếu có);</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i) Ý kiến nhận xét của ngân hàng giám sát về các nội dung quy định tại Thông tư hướng dẫn về hoạt động và quản lý các quỹ đầu tư chứng khoán.</w:t>
      </w:r>
    </w:p>
    <w:p w:rsidR="00EA2E98" w:rsidRPr="00EA2E98" w:rsidRDefault="00EA2E98" w:rsidP="00924965">
      <w:pPr>
        <w:snapToGrid w:val="0"/>
        <w:spacing w:before="120" w:after="120"/>
        <w:jc w:val="both"/>
        <w:rPr>
          <w:rFonts w:asciiTheme="majorHAnsi" w:hAnsiTheme="majorHAnsi" w:cstheme="majorHAnsi"/>
          <w:b/>
        </w:rPr>
      </w:pPr>
      <w:r w:rsidRPr="00EA2E98">
        <w:rPr>
          <w:rFonts w:asciiTheme="majorHAnsi" w:hAnsiTheme="majorHAnsi" w:cstheme="majorHAnsi"/>
          <w:b/>
        </w:rPr>
        <w:t>2. Báo cáo về kết quả hoạt động của quỹ/công ty đầu tư chứng khoán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a) Thông tin về danh mục đầu tư và giá trị tài sản ròng của quỹ/công ty đầu tư chứng khoán tại thời điểm 31/12 của 3 năm gần nhất (nếu có), cụ thể:</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 Danh mục đầu tư của quỹ/công ty đầu tư chứng khoán phân bố theo ngành, lĩnh vực và loại sản phẩm (cổ phiếu, trái phiếu...) (không nêu chi tiết cả danh mục theo mã chứng khoán);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 Giá trị tài sản ròng của quỹ/công ty đầu tư chứng khoán;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 Giá trị tài sản ròng trên một đơn vị quỹ/một cổ phiếu; số lượng chứng chỉ quỹ/cổ phiếu công ty đầu tư chứng khoán đang lưu hành;</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 Giá trị tài sản ròng trên một đơn vị quỹ/một cổ phiếu công ty đầu tư chứng khoán cao nhất/thấp nhất trong năm</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lastRenderedPageBreak/>
        <w:t>- Tổng lợi nhuận của quỹ/công ty đầu tư chứng khoán, nêu chi tiết phần lợi nhuận thu được từ sự tăng trưởng giá chứng khoán (giá trị lãi vốn) và phần lợi nhuận thu được từ lợi tức chứng khoán (cả tức, trái tức, lãi suất tiền gửi…) (giá trị thu nhập);</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 Lợi nhuận đã phân phối trên một đơn vị quỹ/cổ phiếu công ty đầu tư chứng khoán (giá trị thuần và giá trị gộp) trong kỳ báo cáo, kể cả trong trường hợp chi trả bằng tiền mặt hoặc chi trả bằng đơn vị quỹ/cổ phiếu công ty đầu tư chứng khoán; Thời điểm phân chia lợi nhuận; Giá trị tài sản ròng trên một đơn vị quỹ/cổ phiếu công ty đầu tư chứng khoán trước và sau thời điểm phân chia lợi nhuận;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 Tỷ lệ chi phí hoạt động của quỹ/công ty đầu tư chứng khoán và thuyết minh về việc chênh lệch chi phí hoạt động của quỹ/công ty đầu tư chứng khoán (chỉ tính tại thời điểm cuối quý II và cuối năm tài chính);</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 Tốc độ vòng quay danh mục và thuyết minh về việc chênh lệch tốc độ vòng quay của danh mục (chỉ tính tại thời điểm cuối quý II và cuối năm tài chính);</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 Thông tin về các khoản vay nợ, các hạng mục thanh toán trả sau của công ty đầu tư chứng khoán (nếu có), các giao dịch repo/reverse repo.</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b) Chỉ tiêu về lợi nhuận của quỹ/công ty đầu tư chứng khoán: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Tổng lợi nhuận bình quân năm của quỹ/công ty đầu tư chứng khoán phát sinh trong kỳ báo cáo xác định:</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(i) Trong thời hạn 12 tháng (01 năm), tính tới ngày lập báo cáo (hoặc tính từ thời điểm lập quỹ/công ty đầu tư chứng khoán tới ngày báo cáo nếu quỹ/công ty đầu tư chứng khoán hoạt động dưới 1 năm); hoặc</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(ii) Trong thời hạn 36 tháng (03 năm), tính tới ngày lập báo cáo (hoặc tính từ thời điểm lập quỹ/công ty đầu tư chứng khoán tới ngày báo cáo nếu quỹ/công ty đầu tư chứng khoán hoạt động dưới 3 năm); hoặc</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(iii) Trong thời hạn 60 tháng (05 năm), tính tới ngày lập báo cáo (hoặc tính từ thời điểm lập quỹ/công ty đầu tư chứng khoán tới ngày báo cáo nếu quỹ/công ty đầu tư chứng khoán hoạt động dưới 05 năm);</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c) Các chỉ tiêu so sánh khác, bảo đảm tuân thủ nguyên tắc:</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 Phương thức, nguyên tắc xác định giá trị tài sản, giá trị lợi nhuận là thống nhất, đã được công bố và được thẩm định bởi một tổ chức độc lập khác;</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 Dữ liệu được cung cấp bởi một tổ chức độc lập.</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d) Báo cáo phải nêu rõ khuyến cáo rằng các thông tin về kết quả hoạt động của quỹ/công ty đầu tư chứng khoán trước đây chỉ mang tính tham khảo và không có nghĩa là việc đầu tư sẽ bảo đảm khả năng sinh lời cho nhà đầu tư.</w:t>
      </w:r>
    </w:p>
    <w:p w:rsidR="00EA2E98" w:rsidRPr="00EA2E98" w:rsidRDefault="00EA2E98" w:rsidP="00924965">
      <w:pPr>
        <w:snapToGrid w:val="0"/>
        <w:spacing w:before="120" w:after="120"/>
        <w:jc w:val="both"/>
        <w:rPr>
          <w:rFonts w:asciiTheme="majorHAnsi" w:hAnsiTheme="majorHAnsi" w:cstheme="majorHAnsi"/>
          <w:b/>
        </w:rPr>
      </w:pPr>
      <w:r w:rsidRPr="00EA2E98">
        <w:rPr>
          <w:rFonts w:asciiTheme="majorHAnsi" w:hAnsiTheme="majorHAnsi" w:cstheme="majorHAnsi"/>
          <w:b/>
        </w:rPr>
        <w:t>3. Báo cáo về hoạt động quản lý tài sản của Công ty quản lý quỹ</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Báo cáo về hoạt động quản lý tài sản của Công ty quản lý quỹ phải bao gồm các nội dung sau:</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a) Thuyết minh về việc thay đổi Công ty quản lý quỹ (nếu có);</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b) Thuyết minh về việc quỹ/công ty đầu tư chứng khoán có đạt được mục tiêu đầu tư (thuyết minh này chỉ cần thiết tại báo cáo hàng năm của quỹ/công ty đầu tư chứng khoán);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c) So sánh kết quả lợi nhuận của quỹ/công ty đầu tư chứng khoán với kết quả lợi nhuận của danh mục tham chiếu, chỉ số cơ sở công bố tại Bản cáo bạch trong cùng kỳ báo cáo (bằng đồ thị);</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d) So sánh kết quả lợi nhuận của quỹ/công ty đầu tư chứng khoán với kết quả lợi nhuận của danh mục tham chiếu, chỉ số cơ sở công bố tại Bản cáo bạch trong khoảng thời gian 05 năm gần nhất, tính tới ngày báo cáo (bằng đồ thị);</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e) Mô tả chiến lược, chiến thuật đầu tư mà quỹ/công ty đầu tư chứng khoán đã sử dụng trong kỳ báo cáo. Trường hợp có sự khác biệt giữa chiến lược, chiến thuật đầu tư thực hiện trong kỳ so với chiến lược, chiến thuật đầu tư đã công bố tại Bản cáo bạch, thì phải bổ sung thuyết minh và đánh giá ưu, nhược điểm của chiến lược, chiến thuật đầu tư đã thực hiện trong kỳ;</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f) Mô tả sự khác biệt về cơ cấu danh mục đầu tư của quỹ/công ty đầu tư chứng khoán tại thời điểm báo cáo, so với danh mục đầu tư của quỹ/công ty đầu tư chứng khoán năm liền kề năm báo cáo;</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g) Phân tích kết quả hoạt động của quỹ/công ty đầu tư chứng khoán dựa trên việc so sánh giá trị tài sản ròng trên một đơn vị quỹ/cổ phiếu công ty đầu tư chứng khoán (sau khi đã điều chỉnh phần lợi nhuận đã phân phối, nếu có) tại kỳ báo cáo này tại kỳ báo cáo gần nhất;</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h) Đánh giá biến động của các thị trường trong kỳ báo cáo, kể cả thị trường nước ngoài, mà quỹ/công ty đầu tư chứng khoán đầu tư vào, thông tin về lợi nhuận đầu tư đối với từng loại tài sản: cổ phiếu, cổ phiếu blue-chips, cổ phiếu các công ty có mức vốn hóa thấp (small- cap)..</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i) Thông tin về việc chia, tách đơn vị quỹ trong kỳ (nếu có); ảnh hưởng của việc chia tách đơn vị quỹ và giá trị tài sản ròng trên từng đơn vị quỹ (trước và sau khi chia, tách);</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k) Các trường hợp có ảnh hưởng tới quyền lợi của nhà đầu tư nắm giữ chứng chỉ quỹ/cổ đông công ty đầu tư chứng khoán;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l) Thông tin về các giao dịch với người có quyền lợi liên quan (nếu có);</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m) Các thông tin khác (nếu có).</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Trường hợp là quỹ/công ty đầu tư chứng khoán bất động sản, bổ sung các nội dung:</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a) Thông tin về hiện trạng và khả năng khai thác bất động sản trong kỳ. Thông tin về các giao dịch (mua-bán) bất động sản trong kỳ;</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b) Đánh giá về tổ chức cung cấp dịch vụ quản lý bất động sản;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c) Thông tin về hoạt động định giá bất động sản trong kỳ. Mô tả chênh lệch giữa giá gốc và giá trị của bất động sản được định giá lại trong kỳ;</w:t>
      </w:r>
    </w:p>
    <w:p w:rsidR="00EA2E98" w:rsidRPr="00EA2E98" w:rsidRDefault="00EA2E98" w:rsidP="00924965">
      <w:pPr>
        <w:snapToGrid w:val="0"/>
        <w:spacing w:before="120" w:after="120"/>
        <w:jc w:val="both"/>
        <w:rPr>
          <w:rFonts w:asciiTheme="majorHAnsi" w:hAnsiTheme="majorHAnsi" w:cstheme="majorHAnsi"/>
          <w:b/>
        </w:rPr>
      </w:pPr>
      <w:r w:rsidRPr="00EA2E98">
        <w:rPr>
          <w:rFonts w:asciiTheme="majorHAnsi" w:hAnsiTheme="majorHAnsi" w:cstheme="majorHAnsi"/>
          <w:b/>
        </w:rPr>
        <w:t>4. Báo cáo về hoạt động giám sát của ngân hàng giám sát</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Ngân hàng giám sát phải đưa ra ý kiến về sự tuân thủ quy định pháp luật, quy định tại Điều lệ quỹ/công ty đầu tư chứng khoán, Bản cáo bạch của Công ty quản lý quỹ trong quá trình vận hành và quản lý quỹ/công ty đầu tư chứng khoán đối với các nội dung sau:</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a) Thuyết minh về việc thay đổi ngân hàng giám sát (nếu có);</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b) Việc lưu ký tài sản của quỹ/công ty đầu tư chứng khoán;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c) Việc đầu tư tuân thủ các hạn chế về đầu tư, hạn chế về vay theo quy định pháp luật, quy định tại Điều lệ quỹ/công ty đầu tư chứng khoán, Bản cáo bạch;</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d) Việc xác định giá trị tài sản ròng theo quy định pháp luật, quy định tại Điều lệ quỹ/công ty đầu tư chứng khoán, Bản cáo bạch;</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e) Việc phát hành bổ sung chứng chỉ quỹ/cổ phiếu công ty đầu tư chứng khoán, mua lại chứng chỉ quỹ theo quy định pháp luật, quy định tại Điều lệ quỹ, Bản cáo bạch;</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e) Việc phân chia lợi nhuận của quỹ/công ty đầu tư chứng khoán là phù hợp với mục tiêu đầu tư của quỹ/công ty đầu tư chứng khoán.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Trường hợp ngân hàng giám sát có ý kiến cho rằng Công ty quản lý quỹ không tuân thủ các quy định pháp luật, quy định tại Điều lệ quỹ/công ty đầu tư chứng khoán, Bản cáo bạch về các nội dung nêu trên, thì phải cung cấp thông tin đầy đủ về các dự kiến đó, trong đó nêu rõ các ảnh hưởng có thể xảy ra đối với nhà đầu tư nắm giữ chứng chỉ quỹ/cổ đông công ty đầu tư chứng khoán, kể cả nhà đầu tư/cổ đông đã từng nắm giữ chứng chỉ quỹ/cổ phiếu công ty đầu tư chứng khoán trước đây và nhà đầu tư/cổ đông tiềm năng tại thời điểm phát sinh sự kiện. Ngân hàng giám sát cần đề xuất, kiến nghị các giải pháp khắc phục, giải pháp nhằm hạn chế các tình huống tương tự có thể xảy ra trong tương lai.</w:t>
      </w:r>
    </w:p>
    <w:p w:rsidR="00EA2E98" w:rsidRPr="00EA2E98" w:rsidRDefault="00EA2E98" w:rsidP="00924965">
      <w:pPr>
        <w:snapToGrid w:val="0"/>
        <w:spacing w:before="120" w:after="120"/>
        <w:jc w:val="both"/>
        <w:rPr>
          <w:rFonts w:asciiTheme="majorHAnsi" w:hAnsiTheme="majorHAnsi" w:cstheme="majorHAnsi"/>
          <w:b/>
        </w:rPr>
      </w:pPr>
      <w:r w:rsidRPr="00EA2E98">
        <w:rPr>
          <w:rFonts w:asciiTheme="majorHAnsi" w:hAnsiTheme="majorHAnsi" w:cstheme="majorHAnsi"/>
          <w:b/>
        </w:rPr>
        <w:t>5. Báo cáo về hoạt động ủy quyền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Công ty quản lý quỹ phải lập báo cáo đánh giá chất lượng dịch vụ cung cấp bởi các tổ chức khác (bên nhận ủy quyền), như dịch vụ đại lý chuyển nhượng, dịch vụ quản trị quỹ, dịch vụ xác định giá trị tài sản ròng... với các nội dung sau:</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a) Chi phí phải trả cho bên nhận ủy quyền so với lợi nhuận, thu nhập, tổng chi phí hoạt động của quỹ/công ty đầu tư chứng khoán;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b) Việc đăng ký sở hữu tài sản (đối với trường hợp công ty đầu tư chứng khoán bất động sản);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c) Các ảnh hưởng (nếu có) của hoạt động ủy quyền tới lợi nhuận, mức độ rủi ro của quỹ/công ty đầu tư chứng khoán;</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d) Tổng chi phí các hoạt động ủy quyền phải trả cho bên nhện ủy quyền (trường hợp bên nhận ủy quyền cung cấp nhiều dịch vụ cho công ty quản lý quỹ);</w:t>
      </w:r>
    </w:p>
    <w:p w:rsidR="00EA2E98" w:rsidRPr="00EA2E98" w:rsidRDefault="00EA2E98" w:rsidP="00924965">
      <w:pPr>
        <w:snapToGrid w:val="0"/>
        <w:spacing w:before="120" w:after="120"/>
        <w:jc w:val="both"/>
        <w:rPr>
          <w:rFonts w:asciiTheme="majorHAnsi" w:hAnsiTheme="majorHAnsi" w:cstheme="majorHAnsi"/>
        </w:rPr>
      </w:pPr>
      <w:r w:rsidRPr="00EA2E98">
        <w:rPr>
          <w:rFonts w:asciiTheme="majorHAnsi" w:hAnsiTheme="majorHAnsi" w:cstheme="majorHAnsi"/>
        </w:rPr>
        <w:t>đ) Đánh giá khả năng duy trì hệ thống kiểm soát nội bộ, quản trị rủi ro, tính bảo mật, hạ tầng cơ sở vật chất kỹ thuật, hệ thống dự phòng nóng, hệ thống dự phòng thảm họa... của bên nhận ủy quyền, bảo đảm hoạt động ủy quyền được thực hiện thông suốt, không gây ảnh hưởng tới hoạt động đầu tư của nhà đầu tư.</w:t>
      </w:r>
    </w:p>
    <w:p w:rsidR="00EA2E98" w:rsidRPr="00EA2E98" w:rsidRDefault="00EA2E98" w:rsidP="00EA2E98">
      <w:pPr>
        <w:snapToGrid w:val="0"/>
        <w:spacing w:before="120" w:after="120"/>
        <w:rPr>
          <w:rFonts w:asciiTheme="majorHAnsi" w:hAnsiTheme="majorHAnsi" w:cstheme="majorHAnsi"/>
        </w:rPr>
      </w:pPr>
    </w:p>
    <w:tbl>
      <w:tblPr>
        <w:tblW w:w="5000" w:type="pct"/>
        <w:jc w:val="center"/>
        <w:tblLook w:val="01E0" w:firstRow="1" w:lastRow="1" w:firstColumn="1" w:lastColumn="1" w:noHBand="0" w:noVBand="0"/>
      </w:tblPr>
      <w:tblGrid>
        <w:gridCol w:w="4180"/>
        <w:gridCol w:w="4172"/>
      </w:tblGrid>
      <w:tr w:rsidR="00EA2E98" w:rsidRPr="00EA2E98" w:rsidTr="00924965">
        <w:trPr>
          <w:jc w:val="center"/>
        </w:trPr>
        <w:tc>
          <w:tcPr>
            <w:tcW w:w="4428" w:type="dxa"/>
          </w:tcPr>
          <w:p w:rsidR="00EA2E98" w:rsidRPr="00EA2E98" w:rsidRDefault="00EA2E98" w:rsidP="00EA2E98">
            <w:pPr>
              <w:snapToGrid w:val="0"/>
              <w:spacing w:before="120" w:after="120"/>
              <w:rPr>
                <w:rFonts w:asciiTheme="majorHAnsi" w:eastAsia="Times New Roman" w:hAnsiTheme="majorHAnsi" w:cstheme="majorHAnsi"/>
              </w:rPr>
            </w:pPr>
            <w:r w:rsidRPr="00EA2E98">
              <w:rPr>
                <w:rFonts w:asciiTheme="majorHAnsi" w:eastAsia="Times New Roman" w:hAnsiTheme="majorHAnsi" w:cstheme="majorHAnsi"/>
                <w:b/>
                <w:i/>
              </w:rPr>
              <w:br/>
            </w:r>
            <w:r w:rsidRPr="00EA2E98">
              <w:rPr>
                <w:rFonts w:asciiTheme="majorHAnsi" w:eastAsia="Times New Roman" w:hAnsiTheme="majorHAnsi" w:cstheme="majorHAnsi"/>
                <w:b/>
                <w:i/>
                <w:sz w:val="22"/>
              </w:rPr>
              <w:t>Nơi nhận:</w:t>
            </w:r>
            <w:r w:rsidRPr="00EA2E98">
              <w:rPr>
                <w:rFonts w:asciiTheme="majorHAnsi" w:eastAsia="Times New Roman" w:hAnsiTheme="majorHAnsi" w:cstheme="majorHAnsi"/>
                <w:b/>
                <w:i/>
                <w:sz w:val="22"/>
              </w:rPr>
              <w:br/>
            </w:r>
            <w:r w:rsidRPr="00EA2E98">
              <w:rPr>
                <w:rFonts w:asciiTheme="majorHAnsi" w:eastAsia="Times New Roman" w:hAnsiTheme="majorHAnsi" w:cstheme="majorHAnsi"/>
                <w:sz w:val="22"/>
              </w:rPr>
              <w:t>- Như trên;</w:t>
            </w:r>
            <w:r w:rsidRPr="00EA2E98">
              <w:rPr>
                <w:rFonts w:asciiTheme="majorHAnsi" w:eastAsia="Times New Roman" w:hAnsiTheme="majorHAnsi" w:cstheme="majorHAnsi"/>
                <w:sz w:val="22"/>
              </w:rPr>
              <w:br/>
              <w:t>- …………</w:t>
            </w:r>
            <w:r w:rsidRPr="00EA2E98">
              <w:rPr>
                <w:rFonts w:asciiTheme="majorHAnsi" w:eastAsia="Times New Roman" w:hAnsiTheme="majorHAnsi" w:cstheme="majorHAnsi"/>
                <w:sz w:val="22"/>
              </w:rPr>
              <w:br/>
              <w:t>- Lưu:</w:t>
            </w:r>
          </w:p>
        </w:tc>
        <w:tc>
          <w:tcPr>
            <w:tcW w:w="4428" w:type="dxa"/>
          </w:tcPr>
          <w:p w:rsidR="00EA2E98" w:rsidRPr="00EA2E98" w:rsidRDefault="00EA2E98" w:rsidP="00EA2E98">
            <w:pPr>
              <w:snapToGrid w:val="0"/>
              <w:spacing w:before="120" w:after="120"/>
              <w:jc w:val="center"/>
              <w:rPr>
                <w:rFonts w:asciiTheme="majorHAnsi" w:eastAsia="Times New Roman" w:hAnsiTheme="majorHAnsi" w:cstheme="majorHAnsi"/>
                <w:b/>
              </w:rPr>
            </w:pPr>
            <w:r w:rsidRPr="00EA2E98">
              <w:rPr>
                <w:rFonts w:asciiTheme="majorHAnsi" w:eastAsia="Times New Roman" w:hAnsiTheme="majorHAnsi" w:cstheme="majorHAnsi"/>
                <w:b/>
              </w:rPr>
              <w:t>TỔNG GIÁM ĐỐC (GIÁM ĐỐC)</w:t>
            </w:r>
            <w:r w:rsidRPr="00EA2E98">
              <w:rPr>
                <w:rFonts w:asciiTheme="majorHAnsi" w:eastAsia="Times New Roman" w:hAnsiTheme="majorHAnsi" w:cstheme="majorHAnsi"/>
                <w:b/>
              </w:rPr>
              <w:br/>
              <w:t>CÔNG TY QUẢN LÝ QUỸ</w:t>
            </w:r>
            <w:r w:rsidRPr="00EA2E98">
              <w:rPr>
                <w:rFonts w:asciiTheme="majorHAnsi" w:eastAsia="Times New Roman" w:hAnsiTheme="majorHAnsi" w:cstheme="majorHAnsi"/>
                <w:b/>
              </w:rPr>
              <w:br/>
            </w:r>
            <w:r w:rsidRPr="00EA2E98">
              <w:rPr>
                <w:rFonts w:asciiTheme="majorHAnsi" w:eastAsia="Times New Roman" w:hAnsiTheme="majorHAnsi" w:cstheme="majorHAnsi"/>
                <w:i/>
              </w:rPr>
              <w:t>(Ký, ghi rõ họ tên và đóng dấu)</w:t>
            </w:r>
          </w:p>
        </w:tc>
      </w:tr>
    </w:tbl>
    <w:p w:rsidR="00EA2E98" w:rsidRPr="00EA2E98" w:rsidRDefault="00EA2E98" w:rsidP="00EA2E98">
      <w:pPr>
        <w:snapToGrid w:val="0"/>
        <w:spacing w:before="120" w:after="120"/>
        <w:rPr>
          <w:rFonts w:asciiTheme="majorHAnsi" w:hAnsiTheme="majorHAnsi" w:cstheme="majorHAnsi"/>
          <w:b/>
        </w:rPr>
      </w:pPr>
    </w:p>
    <w:p w:rsidR="00AA401E" w:rsidRPr="00EA2E98" w:rsidRDefault="00AA401E" w:rsidP="00EA2E98">
      <w:pPr>
        <w:spacing w:before="120" w:after="120"/>
        <w:rPr>
          <w:rFonts w:asciiTheme="majorHAnsi" w:hAnsiTheme="majorHAnsi" w:cstheme="majorHAnsi"/>
        </w:rPr>
      </w:pPr>
    </w:p>
    <w:sectPr w:rsidR="00AA401E" w:rsidRPr="00EA2E98" w:rsidSect="00EA2E98">
      <w:headerReference w:type="even" r:id="rId6"/>
      <w:headerReference w:type="default" r:id="rId7"/>
      <w:footerReference w:type="even" r:id="rId8"/>
      <w:footerReference w:type="default" r:id="rId9"/>
      <w:headerReference w:type="first" r:id="rId10"/>
      <w:footerReference w:type="first" r:id="rId11"/>
      <w:pgSz w:w="9792" w:h="15840"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3D19" w:rsidRDefault="00F83D19" w:rsidP="00EA2E98">
      <w:r>
        <w:separator/>
      </w:r>
    </w:p>
  </w:endnote>
  <w:endnote w:type="continuationSeparator" w:id="0">
    <w:p w:rsidR="00F83D19" w:rsidRDefault="00F83D19" w:rsidP="00EA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772" w:rsidRDefault="000F4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2E98" w:rsidRPr="006F3E61" w:rsidRDefault="00EA2E98" w:rsidP="006F3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772" w:rsidRDefault="000F4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3D19" w:rsidRDefault="00F83D19" w:rsidP="00EA2E98">
      <w:r>
        <w:separator/>
      </w:r>
    </w:p>
  </w:footnote>
  <w:footnote w:type="continuationSeparator" w:id="0">
    <w:p w:rsidR="00F83D19" w:rsidRDefault="00F83D19" w:rsidP="00EA2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772" w:rsidRDefault="000F4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772" w:rsidRPr="006F3E61" w:rsidRDefault="000F4772" w:rsidP="006F3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772" w:rsidRDefault="000F4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98"/>
    <w:rsid w:val="000F4772"/>
    <w:rsid w:val="006F3E61"/>
    <w:rsid w:val="00924965"/>
    <w:rsid w:val="009A3CC6"/>
    <w:rsid w:val="00AA401E"/>
    <w:rsid w:val="00D06E83"/>
    <w:rsid w:val="00EA2E98"/>
    <w:rsid w:val="00F83D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53F5A-C576-4C93-8D89-55251DA3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98"/>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E98"/>
    <w:pPr>
      <w:tabs>
        <w:tab w:val="center" w:pos="4513"/>
        <w:tab w:val="right" w:pos="9026"/>
      </w:tabs>
    </w:pPr>
  </w:style>
  <w:style w:type="character" w:customStyle="1" w:styleId="HeaderChar">
    <w:name w:val="Header Char"/>
    <w:basedOn w:val="DefaultParagraphFont"/>
    <w:link w:val="Header"/>
    <w:uiPriority w:val="99"/>
    <w:rsid w:val="00EA2E98"/>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EA2E98"/>
    <w:pPr>
      <w:tabs>
        <w:tab w:val="center" w:pos="4513"/>
        <w:tab w:val="right" w:pos="9026"/>
      </w:tabs>
    </w:pPr>
  </w:style>
  <w:style w:type="character" w:customStyle="1" w:styleId="FooterChar">
    <w:name w:val="Footer Char"/>
    <w:basedOn w:val="DefaultParagraphFont"/>
    <w:link w:val="Footer"/>
    <w:uiPriority w:val="99"/>
    <w:rsid w:val="00EA2E98"/>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1476</Words>
  <Characters>8418</Characters>
  <Application>Microsoft Office Word</Application>
  <DocSecurity>0</DocSecurity>
  <Lines>70</Lines>
  <Paragraphs>19</Paragraphs>
  <ScaleCrop>false</ScaleCrop>
  <Company>Microsoft.Com</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5</cp:revision>
  <dcterms:created xsi:type="dcterms:W3CDTF">2021-07-12T03:56:00Z</dcterms:created>
  <dcterms:modified xsi:type="dcterms:W3CDTF">2022-09-12T04:15:00Z</dcterms:modified>
</cp:coreProperties>
</file>