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28D6" w14:textId="77777777" w:rsidR="00A30245" w:rsidRPr="00A30245" w:rsidRDefault="00A30245" w:rsidP="00A30245">
      <w:pPr>
        <w:spacing w:before="120" w:after="120"/>
        <w:jc w:val="right"/>
        <w:rPr>
          <w:rFonts w:ascii="Times New Roman" w:hAnsi="Times New Roman" w:cs="Times New Roman"/>
          <w:b/>
        </w:rPr>
      </w:pPr>
      <w:r w:rsidRPr="00A30245">
        <w:rPr>
          <w:rFonts w:ascii="Times New Roman" w:hAnsi="Times New Roman" w:cs="Times New Roman"/>
          <w:b/>
        </w:rPr>
        <w:t>Mẫu số 95</w:t>
      </w:r>
    </w:p>
    <w:p w14:paraId="0B0E7682" w14:textId="77777777" w:rsidR="00A30245" w:rsidRPr="001F20B1" w:rsidRDefault="00A30245" w:rsidP="00A30245">
      <w:pPr>
        <w:spacing w:before="120" w:after="120"/>
        <w:jc w:val="center"/>
        <w:rPr>
          <w:rFonts w:ascii="Times New Roman" w:hAnsi="Times New Roman" w:cs="Times New Roman"/>
          <w:b/>
          <w:sz w:val="28"/>
        </w:rPr>
      </w:pPr>
      <w:r w:rsidRPr="001F20B1">
        <w:rPr>
          <w:rFonts w:ascii="Times New Roman" w:hAnsi="Times New Roman" w:cs="Times New Roman"/>
          <w:b/>
          <w:sz w:val="28"/>
        </w:rPr>
        <w:t>PHƯƠNG ÁN HỢP NHẤT, SÁP NHẬP, CHIA, TÁCH QUỸ, GIẢI THỂ QUỸ ĐẦU TƯ CHỨNG KHOÁN, CÔNG TY ĐẦU TƯ CHỨNG KHOÁN</w:t>
      </w:r>
    </w:p>
    <w:p w14:paraId="44E507C2" w14:textId="77777777" w:rsidR="00A30245" w:rsidRPr="00A30245" w:rsidRDefault="00A30245" w:rsidP="001F20B1">
      <w:pPr>
        <w:spacing w:before="120" w:after="120"/>
        <w:jc w:val="both"/>
        <w:rPr>
          <w:rFonts w:ascii="Times New Roman" w:hAnsi="Times New Roman" w:cs="Times New Roman"/>
          <w:b/>
        </w:rPr>
      </w:pPr>
      <w:r w:rsidRPr="00A30245">
        <w:rPr>
          <w:rFonts w:ascii="Times New Roman" w:hAnsi="Times New Roman" w:cs="Times New Roman"/>
          <w:b/>
        </w:rPr>
        <w:t>A. PHƯƠNG ÁN HỢP NHẤT, SÁP NHẬP TỐI THIỂU PHẢI BAO GỒM CÁC NỘI DUNG SAU:</w:t>
      </w:r>
    </w:p>
    <w:p w14:paraId="21676F9A" w14:textId="77777777" w:rsidR="00A30245" w:rsidRPr="00A30245" w:rsidRDefault="00A30245" w:rsidP="001F20B1">
      <w:pPr>
        <w:spacing w:before="120" w:after="120"/>
        <w:jc w:val="both"/>
        <w:rPr>
          <w:rFonts w:ascii="Times New Roman" w:hAnsi="Times New Roman" w:cs="Times New Roman"/>
          <w:b/>
        </w:rPr>
      </w:pPr>
      <w:r w:rsidRPr="00A30245">
        <w:rPr>
          <w:rFonts w:ascii="Times New Roman" w:hAnsi="Times New Roman" w:cs="Times New Roman"/>
          <w:b/>
        </w:rPr>
        <w:t>I. THÔNG TIN VỀ CÁC QUỸ BỊ HỢP NHẤT, BỊ SÁP NHẬP VÀ QUỸ HÌNH THÀNH SAU KHI HỢP NHẤT, SÁP NHẬP</w:t>
      </w:r>
    </w:p>
    <w:p w14:paraId="18311D6C"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 Tên đầy đủ, tên viết tắt, tên giao dịch tiếng Việt, tiếng Anh của các quỹ;</w:t>
      </w:r>
    </w:p>
    <w:p w14:paraId="2F426DBC"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 Tên đầy đủ, tên viết tắt, tên giao dịch tiếng Việt, tiếng Anh của công ty quản lý quỹ, ngân hàng giám sát; người đại diện theo pháp luật; địa chỉ trụ sở chính; website của các tổ chức này;</w:t>
      </w:r>
    </w:p>
    <w:p w14:paraId="2278934D"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 Danh sách và sơ yếu lý lịch trích ngang của thành viên Ban Đại diện quỹ; người điều hành quỹ;</w:t>
      </w:r>
    </w:p>
    <w:p w14:paraId="06B7A7D3"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 Tóm tắt tình hình hoạt động của các quỹ; cơ cấu danh mục đầu tư; nguồn vốn và tài sản trước khi hợp nhất, sáp nhập; vốn điều lệ; số lượng đơn vị quỹ của từng quỹ đang lưu hành.</w:t>
      </w:r>
    </w:p>
    <w:p w14:paraId="4EADFBA1" w14:textId="77777777" w:rsidR="00A30245" w:rsidRPr="00A30245" w:rsidRDefault="00A30245" w:rsidP="001F20B1">
      <w:pPr>
        <w:spacing w:before="120" w:after="120"/>
        <w:jc w:val="both"/>
        <w:rPr>
          <w:rFonts w:ascii="Times New Roman" w:hAnsi="Times New Roman" w:cs="Times New Roman"/>
          <w:b/>
        </w:rPr>
      </w:pPr>
      <w:r w:rsidRPr="00A30245">
        <w:rPr>
          <w:rFonts w:ascii="Times New Roman" w:hAnsi="Times New Roman" w:cs="Times New Roman"/>
          <w:b/>
        </w:rPr>
        <w:t>II. THÔNG TIN VỀ VIỆC HỢP NHẤT, SÁP NHẬP</w:t>
      </w:r>
    </w:p>
    <w:p w14:paraId="039B2F40"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1. Mục đích, lý do việc hợp nhất, sáp nhập;</w:t>
      </w:r>
    </w:p>
    <w:p w14:paraId="737062F8"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2. Thời gian dự kiến tổ chức họp Đại hội nhà đầu tư các quỹ bị hợp nhất, bị sáp nhập;</w:t>
      </w:r>
    </w:p>
    <w:p w14:paraId="3991B131"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3. Ngày hợp nhất, sáp nhập dự kiến;</w:t>
      </w:r>
    </w:p>
    <w:p w14:paraId="25476A43"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4. Chi phí hợp nhất, sáp nhập;</w:t>
      </w:r>
    </w:p>
    <w:p w14:paraId="3FC44E6D"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5. Phương pháp kế toán hợp nhất, sáp nhập; thời điểm mà các hoạt động đầu tư bắt đầu được hạch toán tại sổ kế toán của quỹ hình thành sau khi hợp nhất, sáp nhập;</w:t>
      </w:r>
    </w:p>
    <w:p w14:paraId="69018D60"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6. Phương pháp xác định giá trị tài sản ròng của từng quỹ, phương thức xác định giá trị các khoản phải thu, phải trả của quỹ và sự khác biệt (nếu có); phương pháp xác định tỷ lệ chuyển đổi.</w:t>
      </w:r>
    </w:p>
    <w:p w14:paraId="7B999DA6" w14:textId="77777777" w:rsidR="00A30245" w:rsidRPr="00A30245" w:rsidRDefault="00A30245" w:rsidP="001F20B1">
      <w:pPr>
        <w:spacing w:before="120" w:after="120"/>
        <w:jc w:val="both"/>
        <w:rPr>
          <w:rFonts w:ascii="Times New Roman" w:hAnsi="Times New Roman" w:cs="Times New Roman"/>
          <w:b/>
        </w:rPr>
      </w:pPr>
      <w:r w:rsidRPr="00A30245">
        <w:rPr>
          <w:rFonts w:ascii="Times New Roman" w:hAnsi="Times New Roman" w:cs="Times New Roman"/>
          <w:b/>
        </w:rPr>
        <w:t>III. BÁO CÁO PHÂN TÍCH VIỆC HỢP NHẤT, SÁP NHẬP</w:t>
      </w:r>
    </w:p>
    <w:p w14:paraId="4F41DA39" w14:textId="77777777" w:rsidR="00A30245" w:rsidRPr="00A30245" w:rsidRDefault="00A30245" w:rsidP="001F20B1">
      <w:pPr>
        <w:spacing w:before="120" w:after="120"/>
        <w:jc w:val="both"/>
        <w:rPr>
          <w:rFonts w:ascii="Times New Roman" w:hAnsi="Times New Roman" w:cs="Times New Roman"/>
          <w:i/>
        </w:rPr>
      </w:pPr>
      <w:r w:rsidRPr="00A30245">
        <w:rPr>
          <w:rFonts w:ascii="Times New Roman" w:hAnsi="Times New Roman" w:cs="Times New Roman"/>
          <w:i/>
        </w:rPr>
        <w:t>(Báo cáo phải được viết ngắn gọn, súc tích, thể hiện bằng ngôn ngữ dễ hiểu, ít sử dụng các thuật ngữ chuyên môn. Nội dung của báo cáo thay đổi tùy thuộc vào đối tượng là nhà đầu tư của quỹ bị hợp nhất, quỹ bị sáp nhập hoặc quỹ nhận sáp nhập)</w:t>
      </w:r>
    </w:p>
    <w:p w14:paraId="2C5D8C5B"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1. Mục đích, lý do việc hợp nhất, sáp nhập.</w:t>
      </w:r>
    </w:p>
    <w:p w14:paraId="1BDE5C1F"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2. Các ảnh hưởng dự kiến có thể xảy ra do hợp nhất, sáp nhập.</w:t>
      </w:r>
    </w:p>
    <w:p w14:paraId="3C80DBAB"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a) Thay đổi về mục tiêu đầu tư, chính sách đầu tư, mức độ pha loãng hiệu quả hoạt động đầu tư và rủi ro tiềm ẩn;</w:t>
      </w:r>
    </w:p>
    <w:p w14:paraId="3677F0C2"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b) Chi phí phát sinh, tổ chức chịu trách nhiệm thanh toán (công ty quản lý quỹ);</w:t>
      </w:r>
    </w:p>
    <w:p w14:paraId="325C20D0"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c) Thay đổi liên quan tới chính sách về thuế, lệ phí, các loại phí như phát hành, phí mua lại, phí chuyển đổi; so sánh các mức thuế, phí, lệ phí trước và sau khi hợp nhất, sáp nhập, kèm theo giải trình;</w:t>
      </w:r>
    </w:p>
    <w:p w14:paraId="13639957"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lastRenderedPageBreak/>
        <w:t>d) Các thay đổi làm ảnh hưởng tới quyền lợi khác của nhà đầu tư; so sánh quyền của nhà đầu tư trước và sau khi hợp nhất, sáp nhập.</w:t>
      </w:r>
    </w:p>
    <w:p w14:paraId="6EFE66E9"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3. Quyền lợi và lợi ích hợp pháp của nhà đầu tư (của quỹ bị hợp nhất, quỹ bị sáp nhập) liên quan tới việc hợp nhất, sáp nhập:</w:t>
      </w:r>
    </w:p>
    <w:p w14:paraId="30BEDD59"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a) Quyền được tiếp cận mọi thông tin liên quan tới việc hợp nhất, sáp nhập;</w:t>
      </w:r>
    </w:p>
    <w:p w14:paraId="253E7DF8"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b) Quyền được nhận các tài liệu của các quỹ bị hợp nhất, quỹ bị sáp nhập, quỹ nhận sáp nhập bao gồm các báo cáo tài chính, báo cáo hoạt động quỹ, bản cáo bạch, bản cáo bạch tóm tắt;</w:t>
      </w:r>
    </w:p>
    <w:p w14:paraId="69735661"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c) Quyền được nhận báo cáo thẩm định kết quả hợp nhất, sáp nhập do Ngân hàng giám sát xây dựng;</w:t>
      </w:r>
    </w:p>
    <w:p w14:paraId="08C5A56D"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d) Quyền yêu cầu công ty quản lý quỹ mua lại hoặc chuyển đổi chứng chỉ quỹ; nguyên tắc xác định giá mua lại hoặc tỷ lệ chuyển đổi; thời hạn nhận mua lại hoặc nhận chuyển đổi;</w:t>
      </w:r>
    </w:p>
    <w:p w14:paraId="21680670"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đ) Thông tin về các khoản lợi nhuận tích lũy của quỹ và việc sử dụng các khoản này;</w:t>
      </w:r>
    </w:p>
    <w:p w14:paraId="2ECBC73D"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e) Trường hợp việc hợp nhất, sáp nhập kèm theo việc thanh toán tiền cho nhà đầu tư, báo cáo phải bổ sung các thông tin về tỷ lệ tiền thanh toán hoặc mức tiền dự kiến chi trả trên một đơn vị quỹ; đối tượng nhận thanh toán; hình thức và thời hạn thanh toán; nguồn vốn thanh toán.</w:t>
      </w:r>
    </w:p>
    <w:p w14:paraId="5AA72CC0"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4. Lộ trình chi tiết của tiến trình hợp nhất, sáp nhập:</w:t>
      </w:r>
    </w:p>
    <w:p w14:paraId="5A6CA76D"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a) Thời điểm tổ chức họp Đại hội nhà đầu tư hoặc thời hạn lấy ý kiến bằng văn bản từ nhà đầu tư về việc hợp nhất, sáp nhập; hình thức cung cấp thông tin cho nhà đầu tư về kết quả biểu quyết;</w:t>
      </w:r>
    </w:p>
    <w:p w14:paraId="155FED19"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b) Thời hạn mà các quỹ tiếp tục thực hiện các lệnh giao dịch chứng chỉ quỹ;</w:t>
      </w:r>
    </w:p>
    <w:p w14:paraId="1C178C29"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c) Thời hạn các quỹ tạm dừng giao dịch chứng chỉ quỹ để hoàn tất việc hợp nhất, sáp nhập;</w:t>
      </w:r>
    </w:p>
    <w:p w14:paraId="4E68BD96"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d) Ngày hợp nhất, sáp nhập dự kiến.</w:t>
      </w:r>
    </w:p>
    <w:p w14:paraId="233E0247" w14:textId="77777777" w:rsidR="00A30245" w:rsidRPr="00A30245" w:rsidRDefault="00A30245" w:rsidP="001F20B1">
      <w:pPr>
        <w:spacing w:before="120" w:after="120"/>
        <w:jc w:val="both"/>
        <w:rPr>
          <w:rFonts w:ascii="Times New Roman" w:hAnsi="Times New Roman" w:cs="Times New Roman"/>
          <w:b/>
        </w:rPr>
      </w:pPr>
      <w:r w:rsidRPr="00A30245">
        <w:rPr>
          <w:rFonts w:ascii="Times New Roman" w:hAnsi="Times New Roman" w:cs="Times New Roman"/>
          <w:b/>
        </w:rPr>
        <w:t>IV. NGHỊ QUYẾT CỦA ĐẠI HỘI NHÀ ĐẦU TƯ VỀ VIỆC HỢP NHẤT, SÁP NHẬP, TÁCH QUỸ PHẢI BAO GỒM CÁC NỘI DUNG SAU:</w:t>
      </w:r>
    </w:p>
    <w:p w14:paraId="1CEA2F05"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1. Thông qua việc hợp nhất, sáp nhập, tách quỹ; tên các quỹ bị hợp nhất, bị sáp nhập, bị tách; loại hình quỹ; ngày hợp nhất, ngày sáp nhập, ngày tách dự kiến; nguyên tắc và hình thức hợp nhất, sáp nhập (thanh toán hết các nghĩa vụ nợ trước khi hợp nhất, sáp nhập; hoặc chuyển giao các nghĩa vụ nợ cho các quỹ hợp nhất, quỹ nhận sáp nhập), nguyên tắc phân tách danh mục quỹ; nguyên tắc xác định giá trị tài sản ròng tại ngày hợp nhất, ngày sáp nhập; tỷ lệ chuyển đổi.</w:t>
      </w:r>
    </w:p>
    <w:p w14:paraId="5F1A8265"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2. Thông qua danh sách Ban đại diện quỹ các quỹ hình thành sau khi hợp nhất, sáp nhập, tách quỹ.</w:t>
      </w:r>
    </w:p>
    <w:p w14:paraId="170943A5"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3. Thông qua dự thảo Hợp đồng hợp nhất, sáp nhập quỹ.</w:t>
      </w:r>
    </w:p>
    <w:p w14:paraId="5974DA72"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Trường hợp hợp nhất quỹ hoặc tách quỹ, Biên bản họp và Nghị quyết của Đại hội nhà đầu tư phải bổ sung các nội dung khác như sau:</w:t>
      </w:r>
    </w:p>
    <w:p w14:paraId="72ED2885"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4. Thông qua Điều lệ quỹ mới hình thành sau hợp nhất, tách; mục tiêu và chính sách, chiến lược đầu tư; nguyên tắc xác định giá trị tài sản ròng của quỹ hình thành sau hợp nhất, tách; nguyên tắc phân chia lợi nhuận và các nội dung quan trọng khác liên quan.</w:t>
      </w:r>
    </w:p>
    <w:p w14:paraId="0F385FBE"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5. Thông qua Công ty quản lý quỹ (tên Công ty quản lý quỹ, số Giấy phép thành lập và hoạt động do Ủy ban Chứng khoán Nhà nước cấp, địa chỉ trụ sở chính).</w:t>
      </w:r>
    </w:p>
    <w:p w14:paraId="00BDC562"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6. Thông qua hợp đồng giám sát ký với Ngân hàng giám sát kèm theo thông tin về Ngân hàng giám sát (tên Ngân hàng giám sát, số Giấy phép thành lập và hoạt động, số Giấy chứng nhận hoạt động lưu ký chứng khoán do Ủy ban Chứng khoán Nhà nước cấp, địa chỉ trụ sở chính).</w:t>
      </w:r>
    </w:p>
    <w:p w14:paraId="0B49ED6A" w14:textId="77777777" w:rsidR="00A30245" w:rsidRPr="00A30245" w:rsidRDefault="00A30245" w:rsidP="001F20B1">
      <w:pPr>
        <w:spacing w:before="120" w:after="120"/>
        <w:jc w:val="both"/>
        <w:rPr>
          <w:rFonts w:ascii="Times New Roman" w:hAnsi="Times New Roman" w:cs="Times New Roman"/>
          <w:b/>
        </w:rPr>
      </w:pPr>
      <w:r w:rsidRPr="00A30245">
        <w:rPr>
          <w:rFonts w:ascii="Times New Roman" w:hAnsi="Times New Roman" w:cs="Times New Roman"/>
          <w:b/>
        </w:rPr>
        <w:t>B. PHƯƠNG ÁN CHIA, TÁCH QUỸ TỐI THIỂU PHẢI BAO GỒM CÁC NỘI DUNG SAU:</w:t>
      </w:r>
    </w:p>
    <w:p w14:paraId="2E25A073" w14:textId="77777777" w:rsidR="00A30245" w:rsidRPr="00A30245" w:rsidRDefault="00A30245" w:rsidP="001F20B1">
      <w:pPr>
        <w:spacing w:before="120" w:after="120"/>
        <w:jc w:val="both"/>
        <w:rPr>
          <w:rFonts w:ascii="Times New Roman" w:hAnsi="Times New Roman" w:cs="Times New Roman"/>
          <w:b/>
        </w:rPr>
      </w:pPr>
      <w:r w:rsidRPr="00A30245">
        <w:rPr>
          <w:rFonts w:ascii="Times New Roman" w:hAnsi="Times New Roman" w:cs="Times New Roman"/>
          <w:b/>
          <w:lang w:val="en-US"/>
        </w:rPr>
        <w:t>I. THÔNG TIN VỀ QUỸ BỊ CHIA TÁCH</w:t>
      </w:r>
    </w:p>
    <w:p w14:paraId="74892FCE"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1. Tên đầy đủ, tên viết tắt, tên giao dịch tiếng Việt, tiếng Anh của quỹ;</w:t>
      </w:r>
    </w:p>
    <w:p w14:paraId="4DFBFA18"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2. Tên đầy đủ, tên viết tắt, tên giao dịch tiếng Việt, tiếng Anh của công ty quản lý quỹ, ngân hàng giám sát; người đại diện theo pháp luật; địa chỉ trụ sở chính; website của các tổ chức này;</w:t>
      </w:r>
    </w:p>
    <w:p w14:paraId="56B63D83"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3. Danh sách và sơ yếu lý lịch trích ngang của thành viên Ban Đại diện quỹ; người điều hành quỹ;</w:t>
      </w:r>
    </w:p>
    <w:p w14:paraId="2862BFC8"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4. Tóm tắt tình hình hoạt động của các quỹ; cơ cấu danh mục đầu tư; nguồn vốn và tài sản trước khi hợp nhất, sáp nhập; vốn điều lệ; số lượng đơn vị quỹ của từng quỹ đang lưu hành.</w:t>
      </w:r>
    </w:p>
    <w:p w14:paraId="6F64126D" w14:textId="77777777" w:rsidR="00A30245" w:rsidRPr="00A30245" w:rsidRDefault="00A30245" w:rsidP="001F20B1">
      <w:pPr>
        <w:spacing w:before="120" w:after="120"/>
        <w:jc w:val="both"/>
        <w:rPr>
          <w:rFonts w:ascii="Times New Roman" w:hAnsi="Times New Roman" w:cs="Times New Roman"/>
          <w:b/>
        </w:rPr>
      </w:pPr>
      <w:r w:rsidRPr="00A30245">
        <w:rPr>
          <w:rFonts w:ascii="Times New Roman" w:hAnsi="Times New Roman" w:cs="Times New Roman"/>
          <w:b/>
        </w:rPr>
        <w:t>II. THÔNG TIN VỀ VIỆC CHIA, TÁCH QUỸ</w:t>
      </w:r>
    </w:p>
    <w:p w14:paraId="6D23D755"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1. Nguyên nhân, lý do phải chia, tách quỹ;</w:t>
      </w:r>
    </w:p>
    <w:p w14:paraId="1308BBE9"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2. Danh mục đầu tư của quỹ bị chia, tách tại ngày định giá gần nhất; phương án chia, tách danh mục đầu tư của quỹ; phương thức xác định giá trị các khoản phải thu, phải trả của quỹ và sự khác biệt (nếu có), giá trị các khoản nợ, khoản phải trả của quỹ bị chia tách; phương án thanh toán các khoản nợ của quỹ bị chia tách; nguồn vốn để thanh toán các khoản nợ và phương án thanh lý tài sản để đáp ứng các nghĩa vụ nợ (nếu cần thiết); danh mục đầu tư của từng quỹ dự kiến hình thành sau khi bị chia tách;</w:t>
      </w:r>
    </w:p>
    <w:p w14:paraId="511DA000"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3. Bảng liệt kê chi tiết những nội dung dự kiến thay đổi (nếu có) tại dự thảo Điều lệ các quỹ hình thành sau khi chia tách;</w:t>
      </w:r>
    </w:p>
    <w:p w14:paraId="78900F57"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4. Công ty quản lý quỹ, ngân hàng giám sát và các tổ chức ủy quyền, danh sách các đại lý phân phối của các quỹ hình thành sau khi chia tách; phí quản lý, phí giám sát và các phí khác của các quỹ hình thành sau khi chia tách;</w:t>
      </w:r>
    </w:p>
    <w:p w14:paraId="49A979A9"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5. Thời điểm dự kiến chia tách;</w:t>
      </w:r>
    </w:p>
    <w:p w14:paraId="05AD2862"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6. Lộ trình chi tiết của việc chia tách quỹ; thời hạn thanh toán hết các nghĩa vụ nợ; thời hạn, thủ tục, điều kiện, quy trình tổ chức thực hiện chuyển đổi đơn vị quỹ và phát hành đơn vị quỹ của quỹ mới hình thành sau khi chia tách cho nhà đầu tư;</w:t>
      </w:r>
    </w:p>
    <w:p w14:paraId="5EF2DEDD"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Phương án và thời điểm dự kiến thực hiện việc định giá, phát hành, mua lại chứng chỉ của các quỹ hình thành sau khi bị chia tách.</w:t>
      </w:r>
    </w:p>
    <w:p w14:paraId="265CA505" w14:textId="77777777" w:rsidR="00A30245" w:rsidRPr="00A30245" w:rsidRDefault="00A30245" w:rsidP="001F20B1">
      <w:pPr>
        <w:spacing w:before="120" w:after="120"/>
        <w:jc w:val="both"/>
        <w:rPr>
          <w:rFonts w:ascii="Times New Roman" w:hAnsi="Times New Roman" w:cs="Times New Roman"/>
          <w:b/>
        </w:rPr>
      </w:pPr>
      <w:r w:rsidRPr="00A30245">
        <w:rPr>
          <w:rFonts w:ascii="Times New Roman" w:hAnsi="Times New Roman" w:cs="Times New Roman"/>
          <w:b/>
        </w:rPr>
        <w:t>C. PHƯƠNG ÁN GIẢI THỂ QUỸ TỐI THIỂU BAO GỒM CÁC NỘI DUNG SAU:</w:t>
      </w:r>
    </w:p>
    <w:p w14:paraId="4B337766"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1. Thông tin về quỹ đầu tư chứng khoán, công ty đầu tư chứng khoán bị giải thể;</w:t>
      </w:r>
    </w:p>
    <w:p w14:paraId="107861F1"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2. Lý do giải thể;</w:t>
      </w:r>
    </w:p>
    <w:p w14:paraId="755224E0"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3. Ngày giải thể;</w:t>
      </w:r>
    </w:p>
    <w:p w14:paraId="6B5DACC5"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4. Phương pháp xác định giá trị tài sản ròng tại ngày giải thể và trong thời gian quỹ thanh lý tài sản phù hợp với quy định của pháp luật, quy định tại điều lệ quỹ và sổ tay định giá;</w:t>
      </w:r>
    </w:p>
    <w:p w14:paraId="03B9E41A"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5. Lộ trình và phương án thanh lý, phân phối tài sản, cách thức phân phối tài sản cho nhà đầu tư và cung cấp thông tin cho nhà đầu tư về hoạt động thanh lý và phân phối tài sản. Thời hạn thanh lý tài sản của quỹ không quá 02 năm kể từ ngày có quyết định chấp thuận phương án giải thể quỹ. Trong thời gian quỹ đang thanh lý tài sản để giải thể, phí quản lý, phí giám sát và các chi phí khác được thu theo biểu phí đã được đại hội nhà đầu tư thông qua;</w:t>
      </w:r>
    </w:p>
    <w:p w14:paraId="0D706788" w14:textId="77777777" w:rsidR="00A30245" w:rsidRPr="00A30245" w:rsidRDefault="00A30245" w:rsidP="001F20B1">
      <w:pPr>
        <w:spacing w:before="120" w:after="120"/>
        <w:jc w:val="both"/>
        <w:rPr>
          <w:rFonts w:ascii="Times New Roman" w:hAnsi="Times New Roman" w:cs="Times New Roman"/>
        </w:rPr>
      </w:pPr>
      <w:r w:rsidRPr="00A30245">
        <w:rPr>
          <w:rFonts w:ascii="Times New Roman" w:hAnsi="Times New Roman" w:cs="Times New Roman"/>
        </w:rPr>
        <w:t>6. Phương án xử lý các nghĩa vụ phát sinh từ các hợp đồng còn thời hạn;</w:t>
      </w:r>
    </w:p>
    <w:p w14:paraId="2C4074B8" w14:textId="77777777" w:rsidR="00A30245" w:rsidRPr="00A30245" w:rsidRDefault="00A30245" w:rsidP="001F20B1">
      <w:pPr>
        <w:spacing w:before="120" w:after="120"/>
        <w:jc w:val="both"/>
        <w:rPr>
          <w:rFonts w:ascii="Times New Roman" w:hAnsi="Times New Roman" w:cs="Times New Roman"/>
          <w:lang w:val="en-US"/>
        </w:rPr>
      </w:pPr>
      <w:r w:rsidRPr="00A30245">
        <w:rPr>
          <w:rFonts w:ascii="Times New Roman" w:hAnsi="Times New Roman" w:cs="Times New Roman"/>
        </w:rPr>
        <w:t>Đại hội nhà đầu tư có quyền chỉ định một tổ chức kiểm toán độc lập thực hiện việc kiểm tra, đánh giá, giám sát toàn bộ hoạt động thanh lý, định giá, thẩm định lại việc định giá và phân phối tài sản của quỹ cho nhà đầu tư; hoặc duy trì hoạt động của ban đại diện quỹ đương nhiệm để thực hiện việc giám sát quá trình thanh lý và phân phối tài sản quỹ.</w:t>
      </w:r>
    </w:p>
    <w:p w14:paraId="3FCA860B" w14:textId="77777777" w:rsidR="00A30245" w:rsidRPr="00A30245" w:rsidRDefault="00A30245" w:rsidP="00A30245">
      <w:pPr>
        <w:spacing w:before="120" w:after="120"/>
        <w:rPr>
          <w:rFonts w:ascii="Times New Roman" w:hAnsi="Times New Roman" w:cs="Times New Roman"/>
          <w:lang w:val="en-US"/>
        </w:rPr>
      </w:pPr>
    </w:p>
    <w:p w14:paraId="57852D9C" w14:textId="77777777" w:rsidR="00A30245" w:rsidRPr="00A30245" w:rsidRDefault="00A30245" w:rsidP="00A30245">
      <w:pPr>
        <w:spacing w:before="120" w:after="120"/>
        <w:jc w:val="center"/>
        <w:rPr>
          <w:rFonts w:ascii="Times New Roman" w:hAnsi="Times New Roman" w:cs="Times New Roman"/>
          <w:b/>
        </w:rPr>
      </w:pPr>
      <w:r w:rsidRPr="00A30245">
        <w:rPr>
          <w:rFonts w:ascii="Times New Roman" w:hAnsi="Times New Roman" w:cs="Times New Roman"/>
          <w:b/>
        </w:rPr>
        <w:t>TM. ĐẠI HỘI NHÀ ĐẦU TƯ/ĐẠI HỘI ĐỒNG CỔ ĐÔNG</w:t>
      </w:r>
      <w:r w:rsidRPr="00A30245">
        <w:rPr>
          <w:rFonts w:ascii="Times New Roman" w:hAnsi="Times New Roman" w:cs="Times New Roman"/>
          <w:b/>
        </w:rPr>
        <w:br/>
        <w:t>CHỦ TỊCH BAN ĐẠI DIỆN QUỸ/HỘI ĐỒNG QUẢN TRỊ CÔNG TY</w:t>
      </w:r>
    </w:p>
    <w:p w14:paraId="5873F665" w14:textId="67B60733" w:rsidR="007B0EBA" w:rsidRPr="00A30245" w:rsidRDefault="007B0EBA" w:rsidP="00A30245">
      <w:pPr>
        <w:spacing w:before="120" w:after="120"/>
        <w:rPr>
          <w:rFonts w:ascii="Times New Roman" w:hAnsi="Times New Roman" w:cs="Times New Roman"/>
          <w:lang w:val="en-US"/>
        </w:rPr>
      </w:pPr>
    </w:p>
    <w:sectPr w:rsidR="007B0EBA" w:rsidRPr="00A30245" w:rsidSect="006D6216">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B09E" w14:textId="77777777" w:rsidR="001C376F" w:rsidRDefault="001C376F" w:rsidP="00F01C54">
      <w:r>
        <w:separator/>
      </w:r>
    </w:p>
  </w:endnote>
  <w:endnote w:type="continuationSeparator" w:id="0">
    <w:p w14:paraId="412EED78" w14:textId="77777777" w:rsidR="001C376F" w:rsidRDefault="001C376F" w:rsidP="00F0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93C6" w14:textId="77777777" w:rsidR="00FC40CA" w:rsidRDefault="00FC4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9AB9" w14:textId="0971049E" w:rsidR="00F01C54" w:rsidRPr="00FC40CA" w:rsidRDefault="00F01C54" w:rsidP="00FC4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64AF" w14:textId="77777777" w:rsidR="00FC40CA" w:rsidRDefault="00FC4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7547" w14:textId="77777777" w:rsidR="001C376F" w:rsidRDefault="001C376F" w:rsidP="00F01C54">
      <w:r>
        <w:separator/>
      </w:r>
    </w:p>
  </w:footnote>
  <w:footnote w:type="continuationSeparator" w:id="0">
    <w:p w14:paraId="4A1083F0" w14:textId="77777777" w:rsidR="001C376F" w:rsidRDefault="001C376F" w:rsidP="00F0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FB74" w14:textId="77777777" w:rsidR="00FC40CA" w:rsidRDefault="00FC4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E98F" w14:textId="77777777" w:rsidR="00FC40CA" w:rsidRPr="00FC40CA" w:rsidRDefault="00FC40CA" w:rsidP="00FC4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683F" w14:textId="77777777" w:rsidR="00FC40CA" w:rsidRDefault="00FC4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16"/>
    <w:rsid w:val="00064C8A"/>
    <w:rsid w:val="001553FB"/>
    <w:rsid w:val="001C376F"/>
    <w:rsid w:val="001F20B1"/>
    <w:rsid w:val="00495D48"/>
    <w:rsid w:val="006D6216"/>
    <w:rsid w:val="007B0EBA"/>
    <w:rsid w:val="00A30245"/>
    <w:rsid w:val="00EE5CFD"/>
    <w:rsid w:val="00F01C54"/>
    <w:rsid w:val="00FC4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87C0"/>
  <w15:chartTrackingRefBased/>
  <w15:docId w15:val="{72898B95-19CB-4B55-BE14-E012FD8B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216"/>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D6216"/>
    <w:pPr>
      <w:tabs>
        <w:tab w:val="left" w:pos="1152"/>
      </w:tabs>
      <w:spacing w:before="120" w:after="120" w:line="312" w:lineRule="auto"/>
    </w:pPr>
    <w:rPr>
      <w:rFonts w:ascii="Arial" w:eastAsia="Times New Roman" w:hAnsi="Arial" w:cs="Arial"/>
      <w:sz w:val="26"/>
      <w:szCs w:val="26"/>
      <w:lang w:val="en-US"/>
    </w:rPr>
  </w:style>
  <w:style w:type="paragraph" w:styleId="Header">
    <w:name w:val="header"/>
    <w:basedOn w:val="Normal"/>
    <w:link w:val="HeaderChar"/>
    <w:uiPriority w:val="99"/>
    <w:unhideWhenUsed/>
    <w:rsid w:val="00F01C54"/>
    <w:pPr>
      <w:tabs>
        <w:tab w:val="center" w:pos="4513"/>
        <w:tab w:val="right" w:pos="9026"/>
      </w:tabs>
    </w:pPr>
  </w:style>
  <w:style w:type="character" w:customStyle="1" w:styleId="HeaderChar">
    <w:name w:val="Header Char"/>
    <w:basedOn w:val="DefaultParagraphFont"/>
    <w:link w:val="Header"/>
    <w:uiPriority w:val="99"/>
    <w:rsid w:val="00F01C54"/>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F01C54"/>
    <w:pPr>
      <w:tabs>
        <w:tab w:val="center" w:pos="4513"/>
        <w:tab w:val="right" w:pos="9026"/>
      </w:tabs>
    </w:pPr>
  </w:style>
  <w:style w:type="character" w:customStyle="1" w:styleId="FooterChar">
    <w:name w:val="Footer Char"/>
    <w:basedOn w:val="DefaultParagraphFont"/>
    <w:link w:val="Footer"/>
    <w:uiPriority w:val="99"/>
    <w:rsid w:val="00F01C54"/>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1291</Words>
  <Characters>7365</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5</cp:revision>
  <dcterms:created xsi:type="dcterms:W3CDTF">2021-06-14T09:43:00Z</dcterms:created>
  <dcterms:modified xsi:type="dcterms:W3CDTF">2022-09-12T12:23:00Z</dcterms:modified>
</cp:coreProperties>
</file>