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85F6"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bookmarkStart w:id="0" w:name="chuong_pl_4c"/>
      <w:r w:rsidRPr="00FD0B93">
        <w:rPr>
          <w:rFonts w:ascii="Times New Roman" w:eastAsia="Times New Roman" w:hAnsi="Times New Roman" w:cs="Times New Roman"/>
          <w:b/>
          <w:bCs/>
        </w:rPr>
        <w:t>PHỤ LỤC IVc</w:t>
      </w:r>
      <w:bookmarkEnd w:id="0"/>
    </w:p>
    <w:p w14:paraId="7E940342"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bookmarkStart w:id="1" w:name="chuong_pl_4c_name"/>
      <w:r w:rsidRPr="00FD0B93">
        <w:rPr>
          <w:rFonts w:ascii="Times New Roman" w:eastAsia="Times New Roman" w:hAnsi="Times New Roman" w:cs="Times New Roman"/>
        </w:rPr>
        <w:t>MẪU BÁO CÁO KẾT QUẢ THẨM ĐỊNH BÁO CÁO NGHIÊN CỨU KHẢ THI, BÁO CÁO ĐỀ XUẤT CHỦ TRƯƠNG ĐẦU TƯ CHƯƠNG TRÌNH, DỰ ÁN SỬ DỤNG VỐN ODA, VỐN VAY ƯU ĐÃI</w:t>
      </w:r>
      <w:bookmarkEnd w:id="1"/>
      <w:r w:rsidRPr="00FD0B93">
        <w:rPr>
          <w:rFonts w:ascii="Times New Roman" w:eastAsia="Times New Roman" w:hAnsi="Times New Roman" w:cs="Times New Roman"/>
        </w:rPr>
        <w:br/>
      </w:r>
      <w:r w:rsidRPr="00FD0B93">
        <w:rPr>
          <w:rFonts w:ascii="Times New Roman" w:eastAsia="Times New Roman" w:hAnsi="Times New Roman" w:cs="Times New Roman"/>
          <w:i/>
          <w:iCs/>
        </w:rPr>
        <w:t>(Kèm theo Nghị định số 56/2020/NĐ-CP ngày 25 tháng 5 năm 2020 của Chính phủ)</w:t>
      </w:r>
    </w:p>
    <w:tbl>
      <w:tblPr>
        <w:tblW w:w="5000" w:type="pct"/>
        <w:jc w:val="center"/>
        <w:shd w:val="clear" w:color="auto" w:fill="FFFFFF"/>
        <w:tblCellMar>
          <w:left w:w="0" w:type="dxa"/>
          <w:right w:w="0" w:type="dxa"/>
        </w:tblCellMar>
        <w:tblLook w:val="04A0" w:firstRow="1" w:lastRow="0" w:firstColumn="1" w:lastColumn="0" w:noHBand="0" w:noVBand="1"/>
      </w:tblPr>
      <w:tblGrid>
        <w:gridCol w:w="3240"/>
        <w:gridCol w:w="5328"/>
      </w:tblGrid>
      <w:tr w:rsidR="00FD0B93" w:rsidRPr="00FD0B93" w14:paraId="5B7D1F40" w14:textId="77777777" w:rsidTr="00FD0B93">
        <w:trPr>
          <w:jc w:val="center"/>
        </w:trPr>
        <w:tc>
          <w:tcPr>
            <w:tcW w:w="3348" w:type="dxa"/>
            <w:shd w:val="clear" w:color="auto" w:fill="FFFFFF"/>
            <w:tcMar>
              <w:top w:w="0" w:type="dxa"/>
              <w:left w:w="108" w:type="dxa"/>
              <w:bottom w:w="0" w:type="dxa"/>
              <w:right w:w="108" w:type="dxa"/>
            </w:tcMar>
            <w:hideMark/>
          </w:tcPr>
          <w:p w14:paraId="0F4DF377" w14:textId="77777777" w:rsidR="00FD0B93" w:rsidRPr="00FD0B93" w:rsidRDefault="00FD0B93" w:rsidP="00FD0B93">
            <w:pPr>
              <w:widowControl/>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CƠ QUAN THẨM ĐỊNH</w:t>
            </w:r>
            <w:r w:rsidRPr="00FD0B93">
              <w:rPr>
                <w:rFonts w:ascii="Times New Roman" w:eastAsia="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3C81D2B4" w14:textId="77777777" w:rsidR="00FD0B93" w:rsidRPr="00FD0B93" w:rsidRDefault="00FD0B93" w:rsidP="00FD0B93">
            <w:pPr>
              <w:widowControl/>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CỘNG HÒA XÃ HỘI CHỦ NGHĨA VIỆT NAM</w:t>
            </w:r>
            <w:r w:rsidRPr="00FD0B93">
              <w:rPr>
                <w:rFonts w:ascii="Times New Roman" w:eastAsia="Times New Roman" w:hAnsi="Times New Roman" w:cs="Times New Roman"/>
                <w:b/>
                <w:bCs/>
              </w:rPr>
              <w:br/>
              <w:t>Độc lập - Tự do - Hạnh phúc</w:t>
            </w:r>
            <w:r w:rsidRPr="00FD0B93">
              <w:rPr>
                <w:rFonts w:ascii="Times New Roman" w:eastAsia="Times New Roman" w:hAnsi="Times New Roman" w:cs="Times New Roman"/>
                <w:b/>
                <w:bCs/>
              </w:rPr>
              <w:br/>
              <w:t>---------------</w:t>
            </w:r>
          </w:p>
        </w:tc>
      </w:tr>
      <w:tr w:rsidR="00FD0B93" w:rsidRPr="00FD0B93" w14:paraId="13225B3B" w14:textId="77777777" w:rsidTr="00FD0B93">
        <w:trPr>
          <w:jc w:val="center"/>
        </w:trPr>
        <w:tc>
          <w:tcPr>
            <w:tcW w:w="3348" w:type="dxa"/>
            <w:shd w:val="clear" w:color="auto" w:fill="FFFFFF"/>
            <w:tcMar>
              <w:top w:w="0" w:type="dxa"/>
              <w:left w:w="108" w:type="dxa"/>
              <w:bottom w:w="0" w:type="dxa"/>
              <w:right w:w="108" w:type="dxa"/>
            </w:tcMar>
            <w:hideMark/>
          </w:tcPr>
          <w:p w14:paraId="6A24CE9D" w14:textId="77777777" w:rsidR="00FD0B93" w:rsidRPr="00FD0B93" w:rsidRDefault="00FD0B93" w:rsidP="00FD0B93">
            <w:pPr>
              <w:widowControl/>
              <w:spacing w:before="120" w:after="120"/>
              <w:jc w:val="center"/>
              <w:rPr>
                <w:rFonts w:ascii="Times New Roman" w:eastAsia="Times New Roman" w:hAnsi="Times New Roman" w:cs="Times New Roman"/>
              </w:rPr>
            </w:pPr>
            <w:r w:rsidRPr="00FD0B93">
              <w:rPr>
                <w:rFonts w:ascii="Times New Roman" w:eastAsia="Times New Roman" w:hAnsi="Times New Roman" w:cs="Times New Roman"/>
              </w:rPr>
              <w:t>Số: ………….</w:t>
            </w:r>
          </w:p>
        </w:tc>
        <w:tc>
          <w:tcPr>
            <w:tcW w:w="5508" w:type="dxa"/>
            <w:shd w:val="clear" w:color="auto" w:fill="FFFFFF"/>
            <w:tcMar>
              <w:top w:w="0" w:type="dxa"/>
              <w:left w:w="108" w:type="dxa"/>
              <w:bottom w:w="0" w:type="dxa"/>
              <w:right w:w="108" w:type="dxa"/>
            </w:tcMar>
            <w:hideMark/>
          </w:tcPr>
          <w:p w14:paraId="21173A40" w14:textId="77777777" w:rsidR="00FD0B93" w:rsidRPr="00FD0B93" w:rsidRDefault="00FD0B93" w:rsidP="00FD0B93">
            <w:pPr>
              <w:widowControl/>
              <w:spacing w:before="120" w:after="120"/>
              <w:jc w:val="right"/>
              <w:rPr>
                <w:rFonts w:ascii="Times New Roman" w:eastAsia="Times New Roman" w:hAnsi="Times New Roman" w:cs="Times New Roman"/>
              </w:rPr>
            </w:pPr>
            <w:r w:rsidRPr="00FD0B93">
              <w:rPr>
                <w:rFonts w:ascii="Times New Roman" w:eastAsia="Times New Roman" w:hAnsi="Times New Roman" w:cs="Times New Roman"/>
                <w:i/>
                <w:iCs/>
              </w:rPr>
              <w:t>…….., ngày …. tháng … năm …</w:t>
            </w:r>
          </w:p>
        </w:tc>
      </w:tr>
    </w:tbl>
    <w:p w14:paraId="28129FD5"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 </w:t>
      </w:r>
    </w:p>
    <w:p w14:paraId="6D8A6719"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BÁO CÁO</w:t>
      </w:r>
    </w:p>
    <w:p w14:paraId="71A2172D"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Kết quả thẩm định Báo cáo nghiên cứu tiền khả thi/ Báo cáo đề xuất chủ trương đầu tư chương trình/dự án …….</w:t>
      </w:r>
    </w:p>
    <w:p w14:paraId="7260052B"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r w:rsidRPr="00FD0B93">
        <w:rPr>
          <w:rFonts w:ascii="Times New Roman" w:eastAsia="Times New Roman" w:hAnsi="Times New Roman" w:cs="Times New Roman"/>
        </w:rPr>
        <w:t>Kính gửi: (Tên cơ quan trình thẩm định).</w:t>
      </w:r>
    </w:p>
    <w:p w14:paraId="68B32B25"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Cơ quan (Tên cơ quan thẩm định) nhận được Tờ trình số ... ngày .... tháng .... năm .... của Cơ quan (Tên cơ quan trình) trình thẩm định Báo cáo nghiên cứu tiền khả thi/Báo cáo đề xuất chủ trương đầu tư chương trình/dự án (Tên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đầu tư chương trình/dự án (Tên) như sau:</w:t>
      </w:r>
    </w:p>
    <w:p w14:paraId="3C8B1344"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Phần thứ nhất</w:t>
      </w:r>
    </w:p>
    <w:p w14:paraId="3E6EF5F7"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TÀI LIỆU THẨM ĐỊNH VÀ TỔ CHỨC THẨM ĐỊNH</w:t>
      </w:r>
    </w:p>
    <w:p w14:paraId="41DECB8A"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b/>
          <w:bCs/>
        </w:rPr>
        <w:t>I. HỒ SƠ TÀI LIỆU THẨM ĐỊNH</w:t>
      </w:r>
    </w:p>
    <w:p w14:paraId="1B333990"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 Tờ trình Cơ quan quyết định chủ trương đầu tư chương trình/dự án.</w:t>
      </w:r>
    </w:p>
    <w:p w14:paraId="17340748"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2. Báo cáo nghiên cứu tiền khả thi hoặc Báo cáo đề xuất chủ trương đầu tư theo quy định của Luật Đầu tư công.</w:t>
      </w:r>
    </w:p>
    <w:p w14:paraId="420810F3"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3. Báo cáo thẩm định nội bộ.</w:t>
      </w:r>
    </w:p>
    <w:p w14:paraId="4A7F122B"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4. Ý kiến thẩm định nguồn vốn và khả năng cân đối vốn của cơ quan thẩm định theo quy định tại Điều 33 của Luật Đầu tư công.</w:t>
      </w:r>
    </w:p>
    <w:p w14:paraId="07E8D7F0"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5. Các tài liệu liên quan khác (nếu có).</w:t>
      </w:r>
    </w:p>
    <w:p w14:paraId="0AB0BD46"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b/>
          <w:bCs/>
        </w:rPr>
        <w:t>II. CÁC CĂN CỨ PHÁP LÝ ĐỂ THẨM ĐỊNH</w:t>
      </w:r>
    </w:p>
    <w:p w14:paraId="3959EAEA"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 Luật Đầu tư công.</w:t>
      </w:r>
    </w:p>
    <w:p w14:paraId="4995ED99"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2. Các văn bản hướng dẫn thi hành Luật Đầu tư công.</w:t>
      </w:r>
    </w:p>
    <w:p w14:paraId="17C8D137"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3. Các căn cứ pháp lý khác (nếu có).</w:t>
      </w:r>
    </w:p>
    <w:p w14:paraId="0E0EDB2A"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b/>
          <w:bCs/>
        </w:rPr>
        <w:t>III. TỔ CHỨC THẨM ĐỊNH</w:t>
      </w:r>
    </w:p>
    <w:p w14:paraId="6AFA85DD"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 Đơn vị chủ trì thẩm định:</w:t>
      </w:r>
    </w:p>
    <w:p w14:paraId="27EE648D"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2. Đơn vị phối hợp thẩm định:</w:t>
      </w:r>
    </w:p>
    <w:p w14:paraId="7F943309"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lastRenderedPageBreak/>
        <w:t>3. Hình thức thẩm định: Tổ chức họp hoặc lấy ý kiến bằng văn bản hoặc áp dụng cả hai hình thức (nếu cần thiết).</w:t>
      </w:r>
    </w:p>
    <w:p w14:paraId="7376DAD9"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Phần thứ hai</w:t>
      </w:r>
    </w:p>
    <w:p w14:paraId="31B6BD54" w14:textId="77777777" w:rsidR="00FD0B93" w:rsidRPr="00FD0B93" w:rsidRDefault="00FD0B93" w:rsidP="00FD0B93">
      <w:pPr>
        <w:widowControl/>
        <w:shd w:val="clear" w:color="auto" w:fill="FFFFFF"/>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Ý KIẾN THẨM ĐỊNH CHƯƠNG TRÌNH/DỰ ÁN……….</w:t>
      </w:r>
    </w:p>
    <w:p w14:paraId="4A8A1B27"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b/>
          <w:bCs/>
        </w:rPr>
        <w:t>I. MÔ TẢ THÔNG TIN CHUNG VÀ ĐỀ XUẤT CỦA CƠ QUAN/HỘI ĐỒNG THẨM ĐỊNH CHƯƠNG TRÌNH/DỰ ÁN …………….</w:t>
      </w:r>
    </w:p>
    <w:p w14:paraId="2F4086A1"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 Tên chương trình/dự án:</w:t>
      </w:r>
    </w:p>
    <w:p w14:paraId="597991B3"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2. Cơ quan chủ quản:</w:t>
      </w:r>
    </w:p>
    <w:p w14:paraId="27D7573F"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3. Chủ chương trình/dự án (dự kiến):</w:t>
      </w:r>
    </w:p>
    <w:p w14:paraId="0B3ACFDA"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4. Nhà tài trợ, đồng tài trợ (nếu có):</w:t>
      </w:r>
    </w:p>
    <w:p w14:paraId="6A448801"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5. Mục tiêu:</w:t>
      </w:r>
    </w:p>
    <w:p w14:paraId="622275D6"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6. Quy mô và nội dung đầu tư:</w:t>
      </w:r>
    </w:p>
    <w:p w14:paraId="5F0F8D06"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7. Dự án nhóm:</w:t>
      </w:r>
    </w:p>
    <w:p w14:paraId="72A209CD"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8. Thời gian thực hiện (tiến độ và phân kỳ đầu tư):</w:t>
      </w:r>
    </w:p>
    <w:p w14:paraId="4D5EE985"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9. Địa điểm thực hiện chương trình/dự án:</w:t>
      </w:r>
    </w:p>
    <w:p w14:paraId="4D316A75"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10. Tổng vốn thực hiện chương trình/dự án (trong đó làm rõ nguồn vốn đầu tư và mức vốn cụ thể theo từng nguồn, phân kỳ đầu tư sử dụng nguồn vốn theo thời gian cụ thể, dự kiến bố trí vốn) theo tiền đồng Việt Nam và quy đổi ra nguyên tệ và đôla Mỹ, gồm:</w:t>
      </w:r>
    </w:p>
    <w:p w14:paraId="7BCDEDDB"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 Nguồn vốn ODA, vốn vay ưu đãi và mức vốn cụ thể theo từng nguồn (vốn ODA không hoàn lại, vốn vay ODA, vốn vay ưu đãi, vốn đầu tư và vốn sự nghiệp) theo nguyên tệ và quy đổi ra đồng Việt Nam và đô la Mỹ;</w:t>
      </w:r>
    </w:p>
    <w:p w14:paraId="262AE538"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 Nguồn vốn đối ứng và mức vốn cụ thể theo từng nguồn (vốn đầu tư và vốn sự nghiệp) theo tiền đồng Việt Nam và quy đổi ra đô la Mỹ.</w:t>
      </w:r>
    </w:p>
    <w:p w14:paraId="56A85628"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11. Cơ chế tài chính trong nước:</w:t>
      </w:r>
    </w:p>
    <w:p w14:paraId="12FE1AF2"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12. Nguồn vốn đề nghị thẩm định:</w:t>
      </w:r>
    </w:p>
    <w:p w14:paraId="395C644C"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13. Các thông tin khác (nếu có):</w:t>
      </w:r>
    </w:p>
    <w:p w14:paraId="28807BCC"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b/>
          <w:bCs/>
        </w:rPr>
        <w:t>II. TỔNG HỢP Ý KIẾN THẨM ĐỊNH CỦA CÁC ĐƠN VỊ PHỐI HỢP</w:t>
      </w:r>
    </w:p>
    <w:p w14:paraId="6419FFD3"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Tổng hợp ý kiến của các đơn vị phối hợp thẩm định theo quy định của Luật Đầu tư công, Nghị định của Chính phủ.</w:t>
      </w:r>
    </w:p>
    <w:p w14:paraId="54781CC4"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b/>
          <w:bCs/>
        </w:rPr>
        <w:t>III. Ý KIẾN THẨM ĐỊNH CỦA CƠ QUAN THẨM ĐỊNH</w:t>
      </w:r>
    </w:p>
    <w:p w14:paraId="1EF46040"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Việc thẩm định chủ trương đầu tư dự án phải phù hợp với các quy định của Luật Đầu tư công, Nghị định của Chính phủ.</w:t>
      </w:r>
    </w:p>
    <w:p w14:paraId="201D30F2"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Các ý kiến thẩm định tập trung vào các nội dung quy định tại Điều 15 của Nghị định này.</w:t>
      </w:r>
    </w:p>
    <w:p w14:paraId="1AEB8883" w14:textId="77777777" w:rsidR="00FD0B93" w:rsidRDefault="00FD0B93" w:rsidP="00FD0B93">
      <w:pPr>
        <w:widowControl/>
        <w:shd w:val="clear" w:color="auto" w:fill="FFFFFF"/>
        <w:spacing w:before="120" w:after="120"/>
        <w:jc w:val="both"/>
        <w:rPr>
          <w:rFonts w:ascii="Times New Roman" w:eastAsia="Times New Roman" w:hAnsi="Times New Roman" w:cs="Times New Roman"/>
          <w:lang w:val="en-US"/>
        </w:rPr>
      </w:pPr>
      <w:r w:rsidRPr="00FD0B93">
        <w:rPr>
          <w:rFonts w:ascii="Times New Roman" w:eastAsia="Times New Roman" w:hAnsi="Times New Roman" w:cs="Times New Roman"/>
        </w:rPr>
        <w:t>Các ý kiến khác (nếu có).</w:t>
      </w:r>
    </w:p>
    <w:p w14:paraId="0E3E2016" w14:textId="13E614C5" w:rsidR="00FD0B93" w:rsidRPr="00FD0B93" w:rsidRDefault="00FD0B93" w:rsidP="00FD0B93">
      <w:pPr>
        <w:widowControl/>
        <w:shd w:val="clear" w:color="auto" w:fill="FFFFFF"/>
        <w:tabs>
          <w:tab w:val="right" w:leader="dot" w:pos="8280"/>
        </w:tabs>
        <w:spacing w:before="120" w:after="120"/>
        <w:jc w:val="both"/>
        <w:rPr>
          <w:rFonts w:ascii="Times New Roman" w:eastAsia="Times New Roman" w:hAnsi="Times New Roman" w:cs="Times New Roman"/>
          <w:lang w:val="en-US"/>
        </w:rPr>
      </w:pPr>
      <w:r>
        <w:rPr>
          <w:rFonts w:ascii="Times New Roman" w:eastAsia="Times New Roman" w:hAnsi="Times New Roman" w:cs="Times New Roman"/>
          <w:lang w:val="en-US"/>
        </w:rPr>
        <w:tab/>
      </w:r>
    </w:p>
    <w:p w14:paraId="412C6210" w14:textId="7CB797A3"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i/>
          <w:iCs/>
        </w:rPr>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Chính phủ và các văn bản hướng dẫn của Bộ Kế hoạch và Đầu tư).</w:t>
      </w:r>
    </w:p>
    <w:p w14:paraId="5EBADA2D"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b/>
          <w:bCs/>
        </w:rPr>
        <w:t>IV. KẾT LUẬN</w:t>
      </w:r>
    </w:p>
    <w:p w14:paraId="4150CC6F"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Chương trình/Dự án (Tên) đủ điều kiện (chưa đủ điều kiện) để trình cấp có thẩm quyền quyết định chủ trương đầu tư và triển khai các bước tiếp theo.</w:t>
      </w:r>
    </w:p>
    <w:p w14:paraId="53BFA13B"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Trên đây là ý kiến thẩm định của (Cơ quan thẩm định/Hội đồng thẩm định) về chủ trương đầu tư chương trình/dự án, đề nghị Cơ quan (Tên cơ quan trình) xem xét báo cáo cấp có thẩm quyền điều chỉnh (nếu yêu cầu điều chỉnh) hoặc quyết định chủ trương đầu tư chương trình/dự án (nếu chấp thuận đề xuất của Cơ quan trình)./.</w:t>
      </w:r>
    </w:p>
    <w:p w14:paraId="79992547" w14:textId="77777777" w:rsidR="00FD0B93" w:rsidRPr="00FD0B93" w:rsidRDefault="00FD0B93" w:rsidP="00FD0B93">
      <w:pPr>
        <w:widowControl/>
        <w:shd w:val="clear" w:color="auto" w:fill="FFFFFF"/>
        <w:spacing w:before="120" w:after="120"/>
        <w:jc w:val="both"/>
        <w:rPr>
          <w:rFonts w:ascii="Times New Roman" w:eastAsia="Times New Roman" w:hAnsi="Times New Roman" w:cs="Times New Roman"/>
        </w:rPr>
      </w:pPr>
      <w:r w:rsidRPr="00FD0B93">
        <w:rPr>
          <w:rFonts w:ascii="Times New Roman" w:eastAsia="Times New Roman" w:hAnsi="Times New Roman" w:cs="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301"/>
        <w:gridCol w:w="4267"/>
      </w:tblGrid>
      <w:tr w:rsidR="00FD0B93" w:rsidRPr="00FD0B93" w14:paraId="4243FA61" w14:textId="77777777" w:rsidTr="00FD0B93">
        <w:trPr>
          <w:jc w:val="center"/>
        </w:trPr>
        <w:tc>
          <w:tcPr>
            <w:tcW w:w="4428" w:type="dxa"/>
            <w:shd w:val="clear" w:color="auto" w:fill="FFFFFF"/>
            <w:tcMar>
              <w:top w:w="0" w:type="dxa"/>
              <w:left w:w="108" w:type="dxa"/>
              <w:bottom w:w="0" w:type="dxa"/>
              <w:right w:w="108" w:type="dxa"/>
            </w:tcMar>
            <w:hideMark/>
          </w:tcPr>
          <w:p w14:paraId="033814A0" w14:textId="77777777" w:rsidR="00FD0B93" w:rsidRPr="00FD0B93" w:rsidRDefault="00FD0B93" w:rsidP="00FD0B93">
            <w:pPr>
              <w:widowControl/>
              <w:spacing w:before="120" w:after="120"/>
              <w:rPr>
                <w:rFonts w:ascii="Times New Roman" w:eastAsia="Times New Roman" w:hAnsi="Times New Roman" w:cs="Times New Roman"/>
              </w:rPr>
            </w:pPr>
            <w:r w:rsidRPr="00FD0B93">
              <w:rPr>
                <w:rFonts w:ascii="Times New Roman" w:eastAsia="Times New Roman" w:hAnsi="Times New Roman" w:cs="Times New Roman"/>
                <w:b/>
                <w:bCs/>
                <w:i/>
                <w:iCs/>
              </w:rPr>
              <w:br/>
              <w:t>Nơi nhận:</w:t>
            </w:r>
            <w:r w:rsidRPr="00FD0B93">
              <w:rPr>
                <w:rFonts w:ascii="Times New Roman" w:eastAsia="Times New Roman" w:hAnsi="Times New Roman" w:cs="Times New Roman"/>
                <w:b/>
                <w:bCs/>
                <w:i/>
                <w:iCs/>
              </w:rPr>
              <w:br/>
            </w:r>
            <w:r w:rsidRPr="00FD0B93">
              <w:rPr>
                <w:rFonts w:ascii="Times New Roman" w:eastAsia="Times New Roman" w:hAnsi="Times New Roman" w:cs="Times New Roman"/>
              </w:rPr>
              <w:t>- Như trên;</w:t>
            </w:r>
            <w:r w:rsidRPr="00FD0B93">
              <w:rPr>
                <w:rFonts w:ascii="Times New Roman" w:eastAsia="Times New Roman" w:hAnsi="Times New Roman" w:cs="Times New Roman"/>
              </w:rPr>
              <w:br/>
              <w:t>- Cơ quan quyết định chủ trương đầu tư dự án;</w:t>
            </w:r>
            <w:r w:rsidRPr="00FD0B93">
              <w:rPr>
                <w:rFonts w:ascii="Times New Roman" w:eastAsia="Times New Roman" w:hAnsi="Times New Roman" w:cs="Times New Roman"/>
              </w:rPr>
              <w:br/>
              <w:t>- Các cơ quan liên quan khác;</w:t>
            </w:r>
            <w:r w:rsidRPr="00FD0B93">
              <w:rPr>
                <w:rFonts w:ascii="Times New Roman" w:eastAsia="Times New Roman" w:hAnsi="Times New Roman" w:cs="Times New Roman"/>
              </w:rPr>
              <w:br/>
              <w:t>- Lưu: …………</w:t>
            </w:r>
          </w:p>
        </w:tc>
        <w:tc>
          <w:tcPr>
            <w:tcW w:w="4428" w:type="dxa"/>
            <w:shd w:val="clear" w:color="auto" w:fill="FFFFFF"/>
            <w:tcMar>
              <w:top w:w="0" w:type="dxa"/>
              <w:left w:w="108" w:type="dxa"/>
              <w:bottom w:w="0" w:type="dxa"/>
              <w:right w:w="108" w:type="dxa"/>
            </w:tcMar>
            <w:hideMark/>
          </w:tcPr>
          <w:p w14:paraId="197BED1C" w14:textId="77777777" w:rsidR="00FD0B93" w:rsidRPr="00FD0B93" w:rsidRDefault="00FD0B93" w:rsidP="00FD0B93">
            <w:pPr>
              <w:widowControl/>
              <w:spacing w:before="120" w:after="120"/>
              <w:jc w:val="center"/>
              <w:rPr>
                <w:rFonts w:ascii="Times New Roman" w:eastAsia="Times New Roman" w:hAnsi="Times New Roman" w:cs="Times New Roman"/>
              </w:rPr>
            </w:pPr>
            <w:r w:rsidRPr="00FD0B93">
              <w:rPr>
                <w:rFonts w:ascii="Times New Roman" w:eastAsia="Times New Roman" w:hAnsi="Times New Roman" w:cs="Times New Roman"/>
                <w:b/>
                <w:bCs/>
              </w:rPr>
              <w:t>ĐẠI DIỆN CƠ QUAN THẨM ĐỊNH</w:t>
            </w:r>
            <w:r w:rsidRPr="00FD0B93">
              <w:rPr>
                <w:rFonts w:ascii="Times New Roman" w:eastAsia="Times New Roman" w:hAnsi="Times New Roman" w:cs="Times New Roman"/>
                <w:b/>
                <w:bCs/>
              </w:rPr>
              <w:br/>
            </w:r>
            <w:r w:rsidRPr="00FD0B93">
              <w:rPr>
                <w:rFonts w:ascii="Times New Roman" w:eastAsia="Times New Roman" w:hAnsi="Times New Roman" w:cs="Times New Roman"/>
                <w:i/>
                <w:iCs/>
              </w:rPr>
              <w:t>(Ký, ghi rõ họ tên, chức vụ và đóng dấu)</w:t>
            </w:r>
            <w:r w:rsidRPr="00FD0B93">
              <w:rPr>
                <w:rFonts w:ascii="Times New Roman" w:eastAsia="Times New Roman" w:hAnsi="Times New Roman" w:cs="Times New Roman"/>
                <w:i/>
                <w:iCs/>
              </w:rPr>
              <w:br/>
            </w:r>
            <w:r w:rsidRPr="00FD0B93">
              <w:rPr>
                <w:rFonts w:ascii="Times New Roman" w:eastAsia="Times New Roman" w:hAnsi="Times New Roman" w:cs="Times New Roman"/>
                <w:i/>
                <w:iCs/>
              </w:rPr>
              <w:br/>
            </w:r>
            <w:r w:rsidRPr="00FD0B93">
              <w:rPr>
                <w:rFonts w:ascii="Times New Roman" w:eastAsia="Times New Roman" w:hAnsi="Times New Roman" w:cs="Times New Roman"/>
                <w:i/>
                <w:iCs/>
              </w:rPr>
              <w:br/>
            </w:r>
            <w:r w:rsidRPr="00FD0B93">
              <w:rPr>
                <w:rFonts w:ascii="Times New Roman" w:eastAsia="Times New Roman" w:hAnsi="Times New Roman" w:cs="Times New Roman"/>
                <w:i/>
                <w:iCs/>
              </w:rPr>
              <w:br/>
            </w:r>
            <w:r w:rsidRPr="00FD0B93">
              <w:rPr>
                <w:rFonts w:ascii="Times New Roman" w:eastAsia="Times New Roman" w:hAnsi="Times New Roman" w:cs="Times New Roman"/>
                <w:i/>
                <w:iCs/>
              </w:rPr>
              <w:br/>
            </w:r>
            <w:r w:rsidRPr="00FD0B93">
              <w:rPr>
                <w:rFonts w:ascii="Times New Roman" w:eastAsia="Times New Roman" w:hAnsi="Times New Roman" w:cs="Times New Roman"/>
                <w:b/>
                <w:bCs/>
              </w:rPr>
              <w:t>Tên người đại diện</w:t>
            </w:r>
          </w:p>
        </w:tc>
      </w:tr>
    </w:tbl>
    <w:p w14:paraId="0C830178" w14:textId="4C0E59D0" w:rsidR="00162BB0" w:rsidRPr="00FD0B93" w:rsidRDefault="00162BB0" w:rsidP="00FD0B93"/>
    <w:sectPr w:rsidR="00162BB0" w:rsidRPr="00FD0B93" w:rsidSect="00C56699">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DE69" w14:textId="77777777" w:rsidR="00AB2589" w:rsidRDefault="00AB2589" w:rsidP="001449EF">
      <w:r>
        <w:separator/>
      </w:r>
    </w:p>
  </w:endnote>
  <w:endnote w:type="continuationSeparator" w:id="0">
    <w:p w14:paraId="02045612" w14:textId="77777777" w:rsidR="00AB2589" w:rsidRDefault="00AB2589" w:rsidP="001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8AB6" w14:textId="77777777" w:rsidR="00763F7D" w:rsidRDefault="00763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EF3" w14:textId="6C229E9D" w:rsidR="001449EF" w:rsidRPr="00763F7D" w:rsidRDefault="001449EF" w:rsidP="00763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D98D" w14:textId="77777777" w:rsidR="00763F7D" w:rsidRDefault="00763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5854" w14:textId="77777777" w:rsidR="00AB2589" w:rsidRDefault="00AB2589" w:rsidP="001449EF">
      <w:r>
        <w:separator/>
      </w:r>
    </w:p>
  </w:footnote>
  <w:footnote w:type="continuationSeparator" w:id="0">
    <w:p w14:paraId="11CD3A9C" w14:textId="77777777" w:rsidR="00AB2589" w:rsidRDefault="00AB2589" w:rsidP="0014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8F01" w14:textId="77777777" w:rsidR="00763F7D" w:rsidRDefault="0076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06E9" w14:textId="77777777" w:rsidR="00763F7D" w:rsidRPr="00763F7D" w:rsidRDefault="00763F7D" w:rsidP="00763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DF43" w14:textId="77777777" w:rsidR="00763F7D" w:rsidRDefault="00763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19"/>
    <w:rsid w:val="001449EF"/>
    <w:rsid w:val="00162BB0"/>
    <w:rsid w:val="001E6884"/>
    <w:rsid w:val="00205344"/>
    <w:rsid w:val="00256BB5"/>
    <w:rsid w:val="003D44DB"/>
    <w:rsid w:val="005F3536"/>
    <w:rsid w:val="005F6343"/>
    <w:rsid w:val="006219EF"/>
    <w:rsid w:val="00667720"/>
    <w:rsid w:val="00752089"/>
    <w:rsid w:val="00763F7D"/>
    <w:rsid w:val="007F2108"/>
    <w:rsid w:val="00915A9A"/>
    <w:rsid w:val="00A56C87"/>
    <w:rsid w:val="00AB2589"/>
    <w:rsid w:val="00AD74D5"/>
    <w:rsid w:val="00B62FAB"/>
    <w:rsid w:val="00C16E64"/>
    <w:rsid w:val="00C56699"/>
    <w:rsid w:val="00CA0967"/>
    <w:rsid w:val="00D04D19"/>
    <w:rsid w:val="00E75398"/>
    <w:rsid w:val="00EB1B5F"/>
    <w:rsid w:val="00F56199"/>
    <w:rsid w:val="00FD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7A3"/>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E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EF"/>
    <w:pPr>
      <w:tabs>
        <w:tab w:val="center" w:pos="4680"/>
        <w:tab w:val="right" w:pos="9360"/>
      </w:tabs>
    </w:pPr>
  </w:style>
  <w:style w:type="character" w:customStyle="1" w:styleId="HeaderChar">
    <w:name w:val="Header Char"/>
    <w:basedOn w:val="DefaultParagraphFont"/>
    <w:link w:val="Header"/>
    <w:uiPriority w:val="99"/>
    <w:rsid w:val="001449EF"/>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449EF"/>
    <w:pPr>
      <w:tabs>
        <w:tab w:val="center" w:pos="4680"/>
        <w:tab w:val="right" w:pos="9360"/>
      </w:tabs>
    </w:pPr>
  </w:style>
  <w:style w:type="character" w:customStyle="1" w:styleId="FooterChar">
    <w:name w:val="Footer Char"/>
    <w:basedOn w:val="DefaultParagraphFont"/>
    <w:link w:val="Footer"/>
    <w:uiPriority w:val="99"/>
    <w:rsid w:val="001449EF"/>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4832">
      <w:bodyDiv w:val="1"/>
      <w:marLeft w:val="0"/>
      <w:marRight w:val="0"/>
      <w:marTop w:val="0"/>
      <w:marBottom w:val="0"/>
      <w:divBdr>
        <w:top w:val="none" w:sz="0" w:space="0" w:color="auto"/>
        <w:left w:val="none" w:sz="0" w:space="0" w:color="auto"/>
        <w:bottom w:val="none" w:sz="0" w:space="0" w:color="auto"/>
        <w:right w:val="none" w:sz="0" w:space="0" w:color="auto"/>
      </w:divBdr>
    </w:div>
    <w:div w:id="176818239">
      <w:bodyDiv w:val="1"/>
      <w:marLeft w:val="0"/>
      <w:marRight w:val="0"/>
      <w:marTop w:val="0"/>
      <w:marBottom w:val="0"/>
      <w:divBdr>
        <w:top w:val="none" w:sz="0" w:space="0" w:color="auto"/>
        <w:left w:val="none" w:sz="0" w:space="0" w:color="auto"/>
        <w:bottom w:val="none" w:sz="0" w:space="0" w:color="auto"/>
        <w:right w:val="none" w:sz="0" w:space="0" w:color="auto"/>
      </w:divBdr>
    </w:div>
    <w:div w:id="660548980">
      <w:bodyDiv w:val="1"/>
      <w:marLeft w:val="0"/>
      <w:marRight w:val="0"/>
      <w:marTop w:val="0"/>
      <w:marBottom w:val="0"/>
      <w:divBdr>
        <w:top w:val="none" w:sz="0" w:space="0" w:color="auto"/>
        <w:left w:val="none" w:sz="0" w:space="0" w:color="auto"/>
        <w:bottom w:val="none" w:sz="0" w:space="0" w:color="auto"/>
        <w:right w:val="none" w:sz="0" w:space="0" w:color="auto"/>
      </w:divBdr>
    </w:div>
    <w:div w:id="696154362">
      <w:bodyDiv w:val="1"/>
      <w:marLeft w:val="0"/>
      <w:marRight w:val="0"/>
      <w:marTop w:val="0"/>
      <w:marBottom w:val="0"/>
      <w:divBdr>
        <w:top w:val="none" w:sz="0" w:space="0" w:color="auto"/>
        <w:left w:val="none" w:sz="0" w:space="0" w:color="auto"/>
        <w:bottom w:val="none" w:sz="0" w:space="0" w:color="auto"/>
        <w:right w:val="none" w:sz="0" w:space="0" w:color="auto"/>
      </w:divBdr>
    </w:div>
    <w:div w:id="960918565">
      <w:bodyDiv w:val="1"/>
      <w:marLeft w:val="0"/>
      <w:marRight w:val="0"/>
      <w:marTop w:val="0"/>
      <w:marBottom w:val="0"/>
      <w:divBdr>
        <w:top w:val="none" w:sz="0" w:space="0" w:color="auto"/>
        <w:left w:val="none" w:sz="0" w:space="0" w:color="auto"/>
        <w:bottom w:val="none" w:sz="0" w:space="0" w:color="auto"/>
        <w:right w:val="none" w:sz="0" w:space="0" w:color="auto"/>
      </w:divBdr>
    </w:div>
    <w:div w:id="1097293526">
      <w:bodyDiv w:val="1"/>
      <w:marLeft w:val="0"/>
      <w:marRight w:val="0"/>
      <w:marTop w:val="0"/>
      <w:marBottom w:val="0"/>
      <w:divBdr>
        <w:top w:val="none" w:sz="0" w:space="0" w:color="auto"/>
        <w:left w:val="none" w:sz="0" w:space="0" w:color="auto"/>
        <w:bottom w:val="none" w:sz="0" w:space="0" w:color="auto"/>
        <w:right w:val="none" w:sz="0" w:space="0" w:color="auto"/>
      </w:divBdr>
    </w:div>
    <w:div w:id="1157234846">
      <w:bodyDiv w:val="1"/>
      <w:marLeft w:val="0"/>
      <w:marRight w:val="0"/>
      <w:marTop w:val="0"/>
      <w:marBottom w:val="0"/>
      <w:divBdr>
        <w:top w:val="none" w:sz="0" w:space="0" w:color="auto"/>
        <w:left w:val="none" w:sz="0" w:space="0" w:color="auto"/>
        <w:bottom w:val="none" w:sz="0" w:space="0" w:color="auto"/>
        <w:right w:val="none" w:sz="0" w:space="0" w:color="auto"/>
      </w:divBdr>
    </w:div>
    <w:div w:id="1393773344">
      <w:bodyDiv w:val="1"/>
      <w:marLeft w:val="0"/>
      <w:marRight w:val="0"/>
      <w:marTop w:val="0"/>
      <w:marBottom w:val="0"/>
      <w:divBdr>
        <w:top w:val="none" w:sz="0" w:space="0" w:color="auto"/>
        <w:left w:val="none" w:sz="0" w:space="0" w:color="auto"/>
        <w:bottom w:val="none" w:sz="0" w:space="0" w:color="auto"/>
        <w:right w:val="none" w:sz="0" w:space="0" w:color="auto"/>
      </w:divBdr>
    </w:div>
    <w:div w:id="1682926505">
      <w:bodyDiv w:val="1"/>
      <w:marLeft w:val="0"/>
      <w:marRight w:val="0"/>
      <w:marTop w:val="0"/>
      <w:marBottom w:val="0"/>
      <w:divBdr>
        <w:top w:val="none" w:sz="0" w:space="0" w:color="auto"/>
        <w:left w:val="none" w:sz="0" w:space="0" w:color="auto"/>
        <w:bottom w:val="none" w:sz="0" w:space="0" w:color="auto"/>
        <w:right w:val="none" w:sz="0" w:space="0" w:color="auto"/>
      </w:divBdr>
    </w:div>
    <w:div w:id="1836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695A-EC6B-4437-A327-95AD7BFB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2021-07-02T08:42:00Z</dcterms:created>
  <dcterms:modified xsi:type="dcterms:W3CDTF">2022-09-12T12:15:00Z</dcterms:modified>
</cp:coreProperties>
</file>