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795" w:rsidRPr="00F35795" w:rsidRDefault="00F35795" w:rsidP="00F35795">
      <w:pPr>
        <w:autoSpaceDE w:val="0"/>
        <w:autoSpaceDN w:val="0"/>
        <w:adjustRightInd w:val="0"/>
        <w:spacing w:after="120"/>
        <w:ind w:right="-20"/>
        <w:jc w:val="center"/>
        <w:rPr>
          <w:b/>
          <w:sz w:val="24"/>
          <w:szCs w:val="24"/>
        </w:rPr>
      </w:pPr>
      <w:r w:rsidRPr="00F35795">
        <w:rPr>
          <w:b/>
          <w:sz w:val="24"/>
          <w:szCs w:val="24"/>
        </w:rPr>
        <w:t>PHỤ LỤC SỐ 11</w:t>
      </w:r>
    </w:p>
    <w:p w:rsidR="00F35795" w:rsidRPr="00F35795" w:rsidRDefault="00F35795" w:rsidP="00F35795">
      <w:pPr>
        <w:autoSpaceDE w:val="0"/>
        <w:autoSpaceDN w:val="0"/>
        <w:adjustRightInd w:val="0"/>
        <w:spacing w:after="120"/>
        <w:ind w:right="-20"/>
        <w:jc w:val="center"/>
        <w:rPr>
          <w:sz w:val="24"/>
          <w:szCs w:val="24"/>
        </w:rPr>
      </w:pPr>
      <w:r w:rsidRPr="00F35795">
        <w:rPr>
          <w:sz w:val="24"/>
          <w:szCs w:val="24"/>
        </w:rPr>
        <w:t>MẪU THÔNG BÁO PHÁT HÀNH CỔ PHIẾU RA CÔNG CHÚNG</w:t>
      </w:r>
    </w:p>
    <w:p w:rsidR="00F35795" w:rsidRPr="00F35795" w:rsidRDefault="00F35795" w:rsidP="00F35795">
      <w:pPr>
        <w:autoSpaceDE w:val="0"/>
        <w:autoSpaceDN w:val="0"/>
        <w:adjustRightInd w:val="0"/>
        <w:spacing w:after="120"/>
        <w:ind w:right="-20"/>
        <w:jc w:val="center"/>
        <w:rPr>
          <w:i/>
          <w:sz w:val="24"/>
          <w:szCs w:val="24"/>
        </w:rPr>
      </w:pPr>
      <w:r w:rsidRPr="00F35795">
        <w:rPr>
          <w:i/>
          <w:sz w:val="24"/>
          <w:szCs w:val="24"/>
        </w:rPr>
        <w:t>(Ban hành kèm theo Thông tư số 162/2015/TT-BTC ngày 26 tháng 10 năm 2015 của Bộ trưởng Bộ Tài chính hướng dẫn việc chào bán chứng khoán ra công chúng, chào bán cổ phiếu để hoán đổi, phát hành thêm cổ phiếu, mua lại cổ phiếu, bán cổ phiếu quỹ và chào mua công khai cổ phiếu)</w:t>
      </w:r>
    </w:p>
    <w:p w:rsidR="00F35795" w:rsidRPr="00F35795" w:rsidRDefault="00F35795" w:rsidP="00F35795">
      <w:pPr>
        <w:autoSpaceDE w:val="0"/>
        <w:autoSpaceDN w:val="0"/>
        <w:adjustRightInd w:val="0"/>
        <w:spacing w:after="120"/>
        <w:ind w:right="-20"/>
        <w:jc w:val="center"/>
        <w:rPr>
          <w:b/>
          <w:sz w:val="24"/>
          <w:szCs w:val="24"/>
        </w:rPr>
      </w:pPr>
      <w:r w:rsidRPr="00F35795">
        <w:rPr>
          <w:b/>
          <w:sz w:val="24"/>
          <w:szCs w:val="24"/>
        </w:rPr>
        <w:t>THÔNG BÁO PHÁT HÀNH CỔ PHIẾU RA CÔNG CHÚNG</w:t>
      </w:r>
    </w:p>
    <w:p w:rsidR="00F35795" w:rsidRPr="00F35795" w:rsidRDefault="00F35795" w:rsidP="00F35795">
      <w:pPr>
        <w:autoSpaceDE w:val="0"/>
        <w:autoSpaceDN w:val="0"/>
        <w:adjustRightInd w:val="0"/>
        <w:spacing w:after="120"/>
        <w:ind w:right="-20"/>
        <w:jc w:val="center"/>
        <w:rPr>
          <w:i/>
          <w:sz w:val="24"/>
          <w:szCs w:val="24"/>
        </w:rPr>
      </w:pPr>
      <w:r w:rsidRPr="00F35795">
        <w:rPr>
          <w:i/>
          <w:sz w:val="24"/>
          <w:szCs w:val="24"/>
        </w:rPr>
        <w:t>(Giấy chứng nhận đăng ký chào bán cổ phiếu số.... /GCN-UBCK do Chủ tịch Ủy ban Chứng khoán Nhà nước cấp ngày ... /.../...)</w:t>
      </w:r>
    </w:p>
    <w:p w:rsidR="00F35795" w:rsidRPr="00F35795" w:rsidRDefault="00F35795" w:rsidP="00F35795">
      <w:pPr>
        <w:autoSpaceDE w:val="0"/>
        <w:autoSpaceDN w:val="0"/>
        <w:adjustRightInd w:val="0"/>
        <w:spacing w:after="120"/>
        <w:ind w:right="-20"/>
        <w:rPr>
          <w:sz w:val="24"/>
          <w:szCs w:val="24"/>
        </w:rPr>
      </w:pPr>
      <w:r w:rsidRPr="00F35795">
        <w:rPr>
          <w:sz w:val="24"/>
          <w:szCs w:val="24"/>
        </w:rPr>
        <w:t>1. Tên tổ chức phát hành:</w:t>
      </w:r>
    </w:p>
    <w:p w:rsidR="00F35795" w:rsidRPr="00F35795" w:rsidRDefault="00F35795" w:rsidP="00F35795">
      <w:pPr>
        <w:autoSpaceDE w:val="0"/>
        <w:autoSpaceDN w:val="0"/>
        <w:adjustRightInd w:val="0"/>
        <w:spacing w:after="120"/>
        <w:ind w:right="-20"/>
        <w:rPr>
          <w:sz w:val="24"/>
          <w:szCs w:val="24"/>
        </w:rPr>
      </w:pPr>
      <w:r w:rsidRPr="00F35795">
        <w:rPr>
          <w:sz w:val="24"/>
          <w:szCs w:val="24"/>
        </w:rPr>
        <w:t>2. Địa chỉ trụ sở chính:</w:t>
      </w:r>
    </w:p>
    <w:p w:rsidR="00F35795" w:rsidRPr="00F35795" w:rsidRDefault="00F35795" w:rsidP="00F35795">
      <w:pPr>
        <w:autoSpaceDE w:val="0"/>
        <w:autoSpaceDN w:val="0"/>
        <w:adjustRightInd w:val="0"/>
        <w:spacing w:after="120"/>
        <w:ind w:right="-20"/>
        <w:rPr>
          <w:sz w:val="24"/>
          <w:szCs w:val="24"/>
        </w:rPr>
      </w:pPr>
      <w:r w:rsidRPr="00F35795">
        <w:rPr>
          <w:sz w:val="24"/>
          <w:szCs w:val="24"/>
        </w:rPr>
        <w:t>3. Số điện thoại:</w:t>
      </w:r>
    </w:p>
    <w:p w:rsidR="00F35795" w:rsidRPr="00F35795" w:rsidRDefault="00F35795" w:rsidP="00F35795">
      <w:pPr>
        <w:autoSpaceDE w:val="0"/>
        <w:autoSpaceDN w:val="0"/>
        <w:adjustRightInd w:val="0"/>
        <w:spacing w:after="120"/>
        <w:ind w:right="-20"/>
        <w:rPr>
          <w:sz w:val="24"/>
          <w:szCs w:val="24"/>
        </w:rPr>
      </w:pPr>
      <w:r w:rsidRPr="00F35795">
        <w:rPr>
          <w:sz w:val="24"/>
          <w:szCs w:val="24"/>
        </w:rPr>
        <w:t>4. Số Fax:</w:t>
      </w:r>
    </w:p>
    <w:p w:rsidR="00F35795" w:rsidRPr="00F35795" w:rsidRDefault="00F35795" w:rsidP="00F35795">
      <w:pPr>
        <w:autoSpaceDE w:val="0"/>
        <w:autoSpaceDN w:val="0"/>
        <w:adjustRightInd w:val="0"/>
        <w:spacing w:after="120"/>
        <w:ind w:right="-20"/>
        <w:rPr>
          <w:sz w:val="24"/>
          <w:szCs w:val="24"/>
        </w:rPr>
      </w:pPr>
      <w:r w:rsidRPr="00F35795">
        <w:rPr>
          <w:sz w:val="24"/>
          <w:szCs w:val="24"/>
        </w:rPr>
        <w:t>5. Tên, địa chỉ tổ chức bảo lãnh phát hành (nếu có)</w:t>
      </w:r>
    </w:p>
    <w:p w:rsidR="00F35795" w:rsidRPr="00F35795" w:rsidRDefault="00F35795" w:rsidP="00F35795">
      <w:pPr>
        <w:autoSpaceDE w:val="0"/>
        <w:autoSpaceDN w:val="0"/>
        <w:adjustRightInd w:val="0"/>
        <w:spacing w:after="120"/>
        <w:ind w:right="-20"/>
        <w:rPr>
          <w:sz w:val="24"/>
          <w:szCs w:val="24"/>
        </w:rPr>
      </w:pPr>
      <w:r w:rsidRPr="00F35795">
        <w:rPr>
          <w:sz w:val="24"/>
          <w:szCs w:val="24"/>
        </w:rPr>
        <w:t>6. Cổ phiếu chào bán:</w:t>
      </w:r>
    </w:p>
    <w:p w:rsidR="00F35795" w:rsidRPr="00F35795" w:rsidRDefault="00F35795" w:rsidP="00F35795">
      <w:pPr>
        <w:autoSpaceDE w:val="0"/>
        <w:autoSpaceDN w:val="0"/>
        <w:adjustRightInd w:val="0"/>
        <w:spacing w:after="120"/>
        <w:ind w:right="-20"/>
        <w:rPr>
          <w:sz w:val="24"/>
          <w:szCs w:val="24"/>
        </w:rPr>
      </w:pPr>
      <w:r w:rsidRPr="00F35795">
        <w:rPr>
          <w:sz w:val="24"/>
          <w:szCs w:val="24"/>
        </w:rPr>
        <w:t>- Tên cổ phiếu:</w:t>
      </w:r>
    </w:p>
    <w:p w:rsidR="00F35795" w:rsidRPr="00F35795" w:rsidRDefault="00F35795" w:rsidP="00F35795">
      <w:pPr>
        <w:autoSpaceDE w:val="0"/>
        <w:autoSpaceDN w:val="0"/>
        <w:adjustRightInd w:val="0"/>
        <w:spacing w:after="120"/>
        <w:ind w:right="-20"/>
        <w:rPr>
          <w:sz w:val="24"/>
          <w:szCs w:val="24"/>
        </w:rPr>
      </w:pPr>
      <w:r w:rsidRPr="00F35795">
        <w:rPr>
          <w:sz w:val="24"/>
          <w:szCs w:val="24"/>
        </w:rPr>
        <w:t>- Loại cổ phiếu:</w:t>
      </w:r>
    </w:p>
    <w:p w:rsidR="00F35795" w:rsidRPr="00F35795" w:rsidRDefault="00F35795" w:rsidP="00F35795">
      <w:pPr>
        <w:autoSpaceDE w:val="0"/>
        <w:autoSpaceDN w:val="0"/>
        <w:adjustRightInd w:val="0"/>
        <w:spacing w:after="120"/>
        <w:ind w:right="-20"/>
        <w:rPr>
          <w:sz w:val="24"/>
          <w:szCs w:val="24"/>
        </w:rPr>
      </w:pPr>
      <w:r w:rsidRPr="00F35795">
        <w:rPr>
          <w:sz w:val="24"/>
          <w:szCs w:val="24"/>
        </w:rPr>
        <w:t>- Mệnh giá:</w:t>
      </w:r>
    </w:p>
    <w:p w:rsidR="00F35795" w:rsidRPr="00F35795" w:rsidRDefault="00F35795" w:rsidP="00F35795">
      <w:pPr>
        <w:autoSpaceDE w:val="0"/>
        <w:autoSpaceDN w:val="0"/>
        <w:adjustRightInd w:val="0"/>
        <w:spacing w:after="120"/>
        <w:ind w:right="-20"/>
        <w:rPr>
          <w:sz w:val="24"/>
          <w:szCs w:val="24"/>
        </w:rPr>
      </w:pPr>
      <w:r w:rsidRPr="00F35795">
        <w:rPr>
          <w:sz w:val="24"/>
          <w:szCs w:val="24"/>
        </w:rPr>
        <w:t>- Số lượng đăng ký chào bán:</w:t>
      </w:r>
    </w:p>
    <w:p w:rsidR="00F35795" w:rsidRPr="00F35795" w:rsidRDefault="00F35795" w:rsidP="00F35795">
      <w:pPr>
        <w:autoSpaceDE w:val="0"/>
        <w:autoSpaceDN w:val="0"/>
        <w:adjustRightInd w:val="0"/>
        <w:spacing w:after="120"/>
        <w:ind w:right="-20"/>
        <w:rPr>
          <w:sz w:val="24"/>
          <w:szCs w:val="24"/>
        </w:rPr>
      </w:pPr>
      <w:r w:rsidRPr="00F35795">
        <w:rPr>
          <w:sz w:val="24"/>
          <w:szCs w:val="24"/>
        </w:rPr>
        <w:t>7. Khối lượng vốn cần huy động:</w:t>
      </w:r>
    </w:p>
    <w:p w:rsidR="00F35795" w:rsidRPr="00F35795" w:rsidRDefault="00F35795" w:rsidP="00F35795">
      <w:pPr>
        <w:autoSpaceDE w:val="0"/>
        <w:autoSpaceDN w:val="0"/>
        <w:adjustRightInd w:val="0"/>
        <w:spacing w:after="120"/>
        <w:ind w:right="-20"/>
        <w:rPr>
          <w:sz w:val="24"/>
          <w:szCs w:val="24"/>
        </w:rPr>
      </w:pPr>
      <w:r w:rsidRPr="00F35795">
        <w:rPr>
          <w:sz w:val="24"/>
          <w:szCs w:val="24"/>
        </w:rPr>
        <w:t>8. Mục đích huy động vốn:</w:t>
      </w:r>
    </w:p>
    <w:p w:rsidR="00F35795" w:rsidRPr="00F35795" w:rsidRDefault="00F35795" w:rsidP="00F35795">
      <w:pPr>
        <w:autoSpaceDE w:val="0"/>
        <w:autoSpaceDN w:val="0"/>
        <w:adjustRightInd w:val="0"/>
        <w:spacing w:after="120"/>
        <w:ind w:right="-20"/>
        <w:rPr>
          <w:i/>
          <w:sz w:val="24"/>
          <w:szCs w:val="24"/>
        </w:rPr>
      </w:pPr>
      <w:r w:rsidRPr="00F35795">
        <w:rPr>
          <w:sz w:val="24"/>
          <w:szCs w:val="24"/>
        </w:rPr>
        <w:t xml:space="preserve">9. Giá bán ra công chúng </w:t>
      </w:r>
      <w:r w:rsidRPr="00F35795">
        <w:rPr>
          <w:i/>
          <w:sz w:val="24"/>
          <w:szCs w:val="24"/>
        </w:rPr>
        <w:t>(trường hợp giá xác định qua đấu thầu thì nêu phương thức đấu thầu)</w:t>
      </w:r>
    </w:p>
    <w:p w:rsidR="00F35795" w:rsidRPr="00F35795" w:rsidRDefault="00F35795" w:rsidP="00F35795">
      <w:pPr>
        <w:autoSpaceDE w:val="0"/>
        <w:autoSpaceDN w:val="0"/>
        <w:adjustRightInd w:val="0"/>
        <w:spacing w:after="120"/>
        <w:ind w:right="-20"/>
        <w:rPr>
          <w:sz w:val="24"/>
          <w:szCs w:val="24"/>
        </w:rPr>
      </w:pPr>
      <w:r w:rsidRPr="00F35795">
        <w:rPr>
          <w:sz w:val="24"/>
          <w:szCs w:val="24"/>
        </w:rPr>
        <w:t>10. Số lượng đăng ký mua tối thiểu:</w:t>
      </w:r>
    </w:p>
    <w:p w:rsidR="00F35795" w:rsidRPr="00F35795" w:rsidRDefault="00F35795" w:rsidP="00F35795">
      <w:pPr>
        <w:autoSpaceDE w:val="0"/>
        <w:autoSpaceDN w:val="0"/>
        <w:adjustRightInd w:val="0"/>
        <w:spacing w:after="120"/>
        <w:ind w:right="-20"/>
        <w:rPr>
          <w:sz w:val="24"/>
          <w:szCs w:val="24"/>
        </w:rPr>
      </w:pPr>
      <w:r w:rsidRPr="00F35795">
        <w:rPr>
          <w:sz w:val="24"/>
          <w:szCs w:val="24"/>
        </w:rPr>
        <w:t>11.Thời hạn nhận đăng ký mua: Từ ngày.../.../... đến ngày.../.../...</w:t>
      </w:r>
    </w:p>
    <w:p w:rsidR="00F35795" w:rsidRPr="00F35795" w:rsidRDefault="00F35795" w:rsidP="00F35795">
      <w:pPr>
        <w:autoSpaceDE w:val="0"/>
        <w:autoSpaceDN w:val="0"/>
        <w:adjustRightInd w:val="0"/>
        <w:spacing w:after="120"/>
        <w:ind w:right="-20"/>
        <w:rPr>
          <w:i/>
          <w:sz w:val="24"/>
          <w:szCs w:val="24"/>
        </w:rPr>
      </w:pPr>
      <w:r w:rsidRPr="00F35795">
        <w:rPr>
          <w:sz w:val="24"/>
          <w:szCs w:val="24"/>
        </w:rPr>
        <w:lastRenderedPageBreak/>
        <w:t xml:space="preserve">12. Địa điểm nhận đăng ký mua cổ phiếu và công bố Bản cáo bạch: </w:t>
      </w:r>
      <w:r w:rsidRPr="00F35795">
        <w:rPr>
          <w:i/>
          <w:sz w:val="24"/>
          <w:szCs w:val="24"/>
        </w:rPr>
        <w:t>(Tên, số điện thoại liên hệ, địa điểm của các đại lý phát hành).</w:t>
      </w:r>
    </w:p>
    <w:p w:rsidR="00F35795" w:rsidRPr="00F35795" w:rsidRDefault="00F35795" w:rsidP="00F35795">
      <w:pPr>
        <w:autoSpaceDE w:val="0"/>
        <w:autoSpaceDN w:val="0"/>
        <w:adjustRightInd w:val="0"/>
        <w:spacing w:after="120"/>
        <w:ind w:right="-20"/>
        <w:rPr>
          <w:i/>
          <w:sz w:val="24"/>
          <w:szCs w:val="24"/>
        </w:rPr>
      </w:pPr>
      <w:r w:rsidRPr="00F35795">
        <w:rPr>
          <w:sz w:val="24"/>
          <w:szCs w:val="24"/>
        </w:rPr>
        <w:t xml:space="preserve">13. Ngân hàng mở tài khoản phong toả nhận tiền mua cổ phiếu: </w:t>
      </w:r>
      <w:r w:rsidRPr="00F35795">
        <w:rPr>
          <w:i/>
          <w:sz w:val="24"/>
          <w:szCs w:val="24"/>
        </w:rPr>
        <w:t xml:space="preserve">(tên, địa chỉ, số điện thoại) ..., </w:t>
      </w:r>
    </w:p>
    <w:p w:rsidR="00F35795" w:rsidRPr="00F35795" w:rsidRDefault="00F35795" w:rsidP="00F35795">
      <w:pPr>
        <w:autoSpaceDE w:val="0"/>
        <w:autoSpaceDN w:val="0"/>
        <w:adjustRightInd w:val="0"/>
        <w:spacing w:after="120"/>
        <w:ind w:right="-20"/>
        <w:rPr>
          <w:sz w:val="24"/>
          <w:szCs w:val="24"/>
        </w:rPr>
      </w:pPr>
    </w:p>
    <w:tbl>
      <w:tblPr>
        <w:tblW w:w="0" w:type="auto"/>
        <w:tblLook w:val="01E0" w:firstRow="1" w:lastRow="1" w:firstColumn="1" w:lastColumn="1" w:noHBand="0" w:noVBand="0"/>
      </w:tblPr>
      <w:tblGrid>
        <w:gridCol w:w="4068"/>
        <w:gridCol w:w="4788"/>
      </w:tblGrid>
      <w:tr w:rsidR="00F35795" w:rsidRPr="00F35795" w:rsidTr="00F35795">
        <w:tc>
          <w:tcPr>
            <w:tcW w:w="4068" w:type="dxa"/>
            <w:shd w:val="clear" w:color="auto" w:fill="auto"/>
          </w:tcPr>
          <w:p w:rsidR="00F35795" w:rsidRPr="00F35795" w:rsidRDefault="00F35795" w:rsidP="00F35795">
            <w:pPr>
              <w:spacing w:after="120"/>
              <w:rPr>
                <w:rFonts w:eastAsia="Times New Roman"/>
                <w:b/>
                <w:sz w:val="24"/>
                <w:szCs w:val="24"/>
              </w:rPr>
            </w:pPr>
          </w:p>
        </w:tc>
        <w:tc>
          <w:tcPr>
            <w:tcW w:w="4788" w:type="dxa"/>
            <w:shd w:val="clear" w:color="auto" w:fill="auto"/>
          </w:tcPr>
          <w:p w:rsidR="00F35795" w:rsidRPr="00F35795" w:rsidRDefault="00F35795" w:rsidP="00F35795">
            <w:pPr>
              <w:spacing w:after="120"/>
              <w:jc w:val="center"/>
              <w:rPr>
                <w:rFonts w:eastAsia="Times New Roman"/>
                <w:i/>
                <w:sz w:val="24"/>
                <w:szCs w:val="24"/>
              </w:rPr>
            </w:pPr>
            <w:r w:rsidRPr="00F35795">
              <w:rPr>
                <w:rFonts w:eastAsia="Times New Roman"/>
                <w:i/>
                <w:sz w:val="24"/>
                <w:szCs w:val="24"/>
              </w:rPr>
              <w:t xml:space="preserve">ngày ... tháng ... năm ... </w:t>
            </w:r>
          </w:p>
          <w:p w:rsidR="00F35795" w:rsidRPr="00F35795" w:rsidRDefault="00F35795" w:rsidP="00F35795">
            <w:pPr>
              <w:spacing w:after="120"/>
              <w:jc w:val="center"/>
              <w:rPr>
                <w:rFonts w:eastAsia="Times New Roman"/>
                <w:i/>
                <w:sz w:val="24"/>
                <w:szCs w:val="24"/>
              </w:rPr>
            </w:pPr>
            <w:r w:rsidRPr="00F35795">
              <w:rPr>
                <w:rFonts w:eastAsia="Times New Roman"/>
                <w:i/>
                <w:sz w:val="24"/>
                <w:szCs w:val="24"/>
              </w:rPr>
              <w:t xml:space="preserve">(người đại diện theo pháp luật) </w:t>
            </w:r>
          </w:p>
          <w:p w:rsidR="00F35795" w:rsidRPr="00F35795" w:rsidRDefault="00F35795" w:rsidP="00F35795">
            <w:pPr>
              <w:spacing w:after="120"/>
              <w:jc w:val="center"/>
              <w:rPr>
                <w:rFonts w:eastAsia="Times New Roman"/>
                <w:sz w:val="24"/>
                <w:szCs w:val="24"/>
              </w:rPr>
            </w:pPr>
            <w:r w:rsidRPr="00F35795">
              <w:rPr>
                <w:rFonts w:eastAsia="Times New Roman"/>
                <w:i/>
                <w:sz w:val="24"/>
                <w:szCs w:val="24"/>
              </w:rPr>
              <w:t>(Ký, ghi rõ họ tên và đóng dấu)</w:t>
            </w:r>
          </w:p>
        </w:tc>
      </w:tr>
    </w:tbl>
    <w:p w:rsidR="00F13709" w:rsidRPr="00F35795" w:rsidRDefault="00F13709" w:rsidP="00F35795"/>
    <w:sectPr w:rsidR="00F13709" w:rsidRPr="00F35795" w:rsidSect="00331B80">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233" w:rsidRDefault="00C64233" w:rsidP="00C64233">
      <w:pPr>
        <w:spacing w:before="0"/>
      </w:pPr>
      <w:r>
        <w:separator/>
      </w:r>
    </w:p>
  </w:endnote>
  <w:endnote w:type="continuationSeparator" w:id="0">
    <w:p w:rsidR="00C64233" w:rsidRDefault="00C64233" w:rsidP="00C642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233" w:rsidRDefault="00C64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233" w:rsidRPr="00C64233" w:rsidRDefault="00C64233" w:rsidP="00C64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233" w:rsidRDefault="00C64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233" w:rsidRDefault="00C64233" w:rsidP="00C64233">
      <w:pPr>
        <w:spacing w:before="0"/>
      </w:pPr>
      <w:r>
        <w:separator/>
      </w:r>
    </w:p>
  </w:footnote>
  <w:footnote w:type="continuationSeparator" w:id="0">
    <w:p w:rsidR="00C64233" w:rsidRDefault="00C64233" w:rsidP="00C642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233" w:rsidRDefault="00C64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233" w:rsidRPr="00C64233" w:rsidRDefault="00C64233" w:rsidP="00C64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233" w:rsidRDefault="00C64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C3A58"/>
    <w:multiLevelType w:val="hybridMultilevel"/>
    <w:tmpl w:val="4134D538"/>
    <w:lvl w:ilvl="0" w:tplc="0409000F">
      <w:start w:val="1"/>
      <w:numFmt w:val="decimal"/>
      <w:lvlText w:val="%1."/>
      <w:lvlJc w:val="left"/>
      <w:pPr>
        <w:tabs>
          <w:tab w:val="num" w:pos="720"/>
        </w:tabs>
        <w:ind w:left="720" w:hanging="360"/>
      </w:pPr>
    </w:lvl>
    <w:lvl w:ilvl="1" w:tplc="65A00AB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906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F26"/>
    <w:rsid w:val="0022617D"/>
    <w:rsid w:val="0029634F"/>
    <w:rsid w:val="00331B80"/>
    <w:rsid w:val="00335F26"/>
    <w:rsid w:val="0046036D"/>
    <w:rsid w:val="005D5DE0"/>
    <w:rsid w:val="0078644C"/>
    <w:rsid w:val="0086333B"/>
    <w:rsid w:val="00C469EA"/>
    <w:rsid w:val="00C64233"/>
    <w:rsid w:val="00E97731"/>
    <w:rsid w:val="00F13709"/>
    <w:rsid w:val="00F35795"/>
    <w:rsid w:val="00FD4D5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82C7A-5440-42A3-98BB-D1236A42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50"/>
    <w:pPr>
      <w:spacing w:before="360"/>
      <w:jc w:val="both"/>
    </w:pPr>
    <w:rPr>
      <w:color w:val="000000"/>
      <w:sz w:val="28"/>
      <w:szCs w:val="28"/>
      <w:lang w:val="en-US" w:eastAsia="en-US"/>
    </w:rPr>
  </w:style>
  <w:style w:type="paragraph" w:styleId="Heading1">
    <w:name w:val="heading 1"/>
    <w:basedOn w:val="Normal"/>
    <w:next w:val="Normal"/>
    <w:link w:val="Heading1Char"/>
    <w:qFormat/>
    <w:rsid w:val="00335F26"/>
    <w:pPr>
      <w:keepNext/>
      <w:spacing w:before="0"/>
      <w:jc w:val="left"/>
      <w:outlineLvl w:val="0"/>
    </w:pPr>
    <w:rPr>
      <w:rFonts w:ascii=".VnTime" w:eastAsia="Times New Roman" w:hAnsi=".VnTime"/>
      <w:b/>
      <w:color w:val="auto"/>
      <w:sz w:val="26"/>
      <w:szCs w:val="20"/>
    </w:rPr>
  </w:style>
  <w:style w:type="paragraph" w:styleId="Heading2">
    <w:name w:val="heading 2"/>
    <w:basedOn w:val="Normal"/>
    <w:next w:val="Normal"/>
    <w:link w:val="Heading2Char"/>
    <w:qFormat/>
    <w:rsid w:val="00335F26"/>
    <w:pPr>
      <w:keepNext/>
      <w:widowControl w:val="0"/>
      <w:tabs>
        <w:tab w:val="num" w:pos="576"/>
      </w:tabs>
      <w:spacing w:before="0"/>
      <w:ind w:left="576" w:hanging="576"/>
      <w:outlineLvl w:val="1"/>
    </w:pPr>
    <w:rPr>
      <w:rFonts w:ascii=".VnTimeH" w:eastAsia="Times New Roman" w:hAnsi=".VnTimeH"/>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5F26"/>
    <w:rPr>
      <w:rFonts w:ascii=".VnTime" w:eastAsia="Times New Roman" w:hAnsi=".VnTime"/>
      <w:b/>
      <w:color w:val="auto"/>
      <w:sz w:val="26"/>
      <w:szCs w:val="20"/>
    </w:rPr>
  </w:style>
  <w:style w:type="character" w:customStyle="1" w:styleId="Heading2Char">
    <w:name w:val="Heading 2 Char"/>
    <w:link w:val="Heading2"/>
    <w:rsid w:val="00335F26"/>
    <w:rPr>
      <w:rFonts w:ascii=".VnTimeH" w:eastAsia="Times New Roman" w:hAnsi=".VnTimeH"/>
      <w:b/>
      <w:color w:val="auto"/>
      <w:sz w:val="24"/>
      <w:szCs w:val="20"/>
    </w:rPr>
  </w:style>
  <w:style w:type="paragraph" w:styleId="Title">
    <w:name w:val="Title"/>
    <w:basedOn w:val="Normal"/>
    <w:link w:val="TitleChar"/>
    <w:qFormat/>
    <w:rsid w:val="00335F26"/>
    <w:pPr>
      <w:widowControl w:val="0"/>
      <w:spacing w:before="0"/>
      <w:jc w:val="center"/>
    </w:pPr>
    <w:rPr>
      <w:rFonts w:ascii=".VnTime" w:eastAsia="Times New Roman" w:hAnsi=".VnTime"/>
      <w:b/>
      <w:color w:val="auto"/>
      <w:sz w:val="42"/>
      <w:szCs w:val="20"/>
    </w:rPr>
  </w:style>
  <w:style w:type="character" w:customStyle="1" w:styleId="TitleChar">
    <w:name w:val="Title Char"/>
    <w:link w:val="Title"/>
    <w:rsid w:val="00335F26"/>
    <w:rPr>
      <w:rFonts w:ascii=".VnTime" w:eastAsia="Times New Roman" w:hAnsi=".VnTime"/>
      <w:b/>
      <w:color w:val="auto"/>
      <w:sz w:val="42"/>
      <w:szCs w:val="20"/>
    </w:rPr>
  </w:style>
  <w:style w:type="paragraph" w:styleId="BodyText2">
    <w:name w:val="Body Text 2"/>
    <w:basedOn w:val="Normal"/>
    <w:link w:val="BodyText2Char"/>
    <w:rsid w:val="00335F26"/>
    <w:pPr>
      <w:spacing w:before="0" w:after="120" w:line="480" w:lineRule="auto"/>
      <w:jc w:val="left"/>
    </w:pPr>
    <w:rPr>
      <w:rFonts w:ascii=".VnTime" w:eastAsia="Times New Roman" w:hAnsi=".VnTime"/>
      <w:color w:val="auto"/>
      <w:sz w:val="26"/>
      <w:szCs w:val="20"/>
    </w:rPr>
  </w:style>
  <w:style w:type="character" w:customStyle="1" w:styleId="BodyText2Char">
    <w:name w:val="Body Text 2 Char"/>
    <w:link w:val="BodyText2"/>
    <w:rsid w:val="00335F26"/>
    <w:rPr>
      <w:rFonts w:ascii=".VnTime" w:eastAsia="Times New Roman" w:hAnsi=".VnTime"/>
      <w:color w:val="auto"/>
      <w:sz w:val="26"/>
      <w:szCs w:val="20"/>
    </w:rPr>
  </w:style>
  <w:style w:type="paragraph" w:customStyle="1" w:styleId="Char">
    <w:name w:val="Char"/>
    <w:basedOn w:val="Normal"/>
    <w:autoRedefine/>
    <w:rsid w:val="00F35795"/>
    <w:pPr>
      <w:spacing w:before="0" w:after="160" w:line="240" w:lineRule="exact"/>
      <w:jc w:val="left"/>
    </w:pPr>
    <w:rPr>
      <w:rFonts w:ascii="Verdana" w:eastAsia="Times New Roman" w:hAnsi="Verdana" w:cs="Verdana"/>
      <w:color w:val="auto"/>
      <w:sz w:val="20"/>
      <w:szCs w:val="20"/>
    </w:rPr>
  </w:style>
  <w:style w:type="table" w:styleId="TableGrid">
    <w:name w:val="Table Grid"/>
    <w:basedOn w:val="TableNormal"/>
    <w:rsid w:val="00F357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233"/>
    <w:pPr>
      <w:tabs>
        <w:tab w:val="center" w:pos="4513"/>
        <w:tab w:val="right" w:pos="9026"/>
      </w:tabs>
    </w:pPr>
  </w:style>
  <w:style w:type="character" w:customStyle="1" w:styleId="HeaderChar">
    <w:name w:val="Header Char"/>
    <w:basedOn w:val="DefaultParagraphFont"/>
    <w:link w:val="Header"/>
    <w:uiPriority w:val="99"/>
    <w:rsid w:val="00C64233"/>
    <w:rPr>
      <w:color w:val="000000"/>
      <w:sz w:val="28"/>
      <w:szCs w:val="28"/>
      <w:lang w:val="en-US" w:eastAsia="en-US"/>
    </w:rPr>
  </w:style>
  <w:style w:type="paragraph" w:styleId="Footer">
    <w:name w:val="footer"/>
    <w:basedOn w:val="Normal"/>
    <w:link w:val="FooterChar"/>
    <w:uiPriority w:val="99"/>
    <w:unhideWhenUsed/>
    <w:rsid w:val="00C64233"/>
    <w:pPr>
      <w:tabs>
        <w:tab w:val="center" w:pos="4513"/>
        <w:tab w:val="right" w:pos="9026"/>
      </w:tabs>
    </w:pPr>
  </w:style>
  <w:style w:type="character" w:customStyle="1" w:styleId="FooterChar">
    <w:name w:val="Footer Char"/>
    <w:basedOn w:val="DefaultParagraphFont"/>
    <w:link w:val="Footer"/>
    <w:uiPriority w:val="99"/>
    <w:rsid w:val="00C64233"/>
    <w:rPr>
      <w:color w:val="00000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F128D-7EFE-4722-89F3-3A84BD918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B31633-8D99-41BD-AAB4-D16D4CCA3985}">
  <ds:schemaRefs>
    <ds:schemaRef ds:uri="http://schemas.microsoft.com/sharepoint/v3/contenttype/forms"/>
  </ds:schemaRefs>
</ds:datastoreItem>
</file>

<file path=customXml/itemProps3.xml><?xml version="1.0" encoding="utf-8"?>
<ds:datastoreItem xmlns:ds="http://schemas.openxmlformats.org/officeDocument/2006/customXml" ds:itemID="{D07E1102-8CC2-49B6-9815-69AB506EA4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huan nguyen</cp:lastModifiedBy>
  <cp:revision>3</cp:revision>
  <dcterms:created xsi:type="dcterms:W3CDTF">2022-09-12T15:50:00Z</dcterms:created>
  <dcterms:modified xsi:type="dcterms:W3CDTF">2022-09-12T16:20:00Z</dcterms:modified>
</cp:coreProperties>
</file>