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789" w:type="dxa"/>
        <w:tblCellMar>
          <w:left w:w="0" w:type="dxa"/>
          <w:right w:w="0" w:type="dxa"/>
        </w:tblCellMar>
        <w:tblLook w:val="04A0" w:firstRow="1" w:lastRow="0" w:firstColumn="1" w:lastColumn="0" w:noHBand="0" w:noVBand="1"/>
      </w:tblPr>
      <w:tblGrid>
        <w:gridCol w:w="2977"/>
        <w:gridCol w:w="5812"/>
      </w:tblGrid>
      <w:tr w:rsidR="004A24EA" w:rsidRPr="004A24EA" w:rsidTr="004A24EA">
        <w:tc>
          <w:tcPr>
            <w:tcW w:w="2977" w:type="dxa"/>
            <w:tcMar>
              <w:top w:w="0" w:type="dxa"/>
              <w:left w:w="108" w:type="dxa"/>
              <w:bottom w:w="0" w:type="dxa"/>
              <w:right w:w="108" w:type="dxa"/>
            </w:tcMar>
            <w:hideMark/>
          </w:tcPr>
          <w:p w:rsidR="004A24EA" w:rsidRPr="004A24EA" w:rsidRDefault="004A24EA" w:rsidP="004A24EA">
            <w:pPr>
              <w:spacing w:before="100" w:beforeAutospacing="1" w:line="240" w:lineRule="auto"/>
              <w:jc w:val="center"/>
              <w:rPr>
                <w:rFonts w:eastAsia="Times New Roman" w:cs="Times New Roman"/>
                <w:color w:val="222222"/>
                <w:szCs w:val="26"/>
              </w:rPr>
            </w:pPr>
            <w:r>
              <w:rPr>
                <w:rFonts w:eastAsia="Times New Roman" w:cs="Times New Roman"/>
                <w:b/>
                <w:bCs/>
                <w:noProof/>
                <w:color w:val="000000"/>
                <w:szCs w:val="26"/>
              </w:rPr>
              <mc:AlternateContent>
                <mc:Choice Requires="wps">
                  <w:drawing>
                    <wp:anchor distT="0" distB="0" distL="114300" distR="114300" simplePos="0" relativeHeight="251659264" behindDoc="0" locked="0" layoutInCell="1" allowOverlap="1">
                      <wp:simplePos x="0" y="0"/>
                      <wp:positionH relativeFrom="column">
                        <wp:posOffset>632460</wp:posOffset>
                      </wp:positionH>
                      <wp:positionV relativeFrom="paragraph">
                        <wp:posOffset>222885</wp:posOffset>
                      </wp:positionV>
                      <wp:extent cx="5905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90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357B8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9.8pt,17.55pt" to="96.3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feItAEAALYDAAAOAAAAZHJzL2Uyb0RvYy54bWysU02P0zAQvSPxHyzfadKViiBquoeu4IKg&#10;YuEHeJ1xY2F7rLFp2n/P2G2zaEEIrfbi+OO9mXlvJuvbo3fiAJQshl4uF60UEDQONux7+f3bhzfv&#10;pEhZhUE5DNDLEyR5u3n9aj3FDm5wRDcACQ4SUjfFXo45x65pkh7Bq7TACIEfDZJXmY+0bwZSE0f3&#10;rrlp27fNhDREQg0p8e3d+VFuanxjQOcvxiTIwvWSa8t1pbo+lLXZrFW3JxVHqy9lqGdU4ZUNnHQO&#10;daeyEj/J/hHKW02Y0OSFRt+gMVZD1cBqlu0TNfejilC1sDkpzjallwurPx92JOzAvZMiKM8tus+k&#10;7H7MYoshsIFIYll8mmLqGL4NO7qcUtxREX005MuX5Yhj9fY0ewvHLDRfrt63qxV3QF+fmkdepJQ/&#10;AnpRNr10NhTVqlOHTylzLoZeIXwodZwz110+OShgF76CYSWca1nZdYZg60gcFHd/+FFVcKyKLBRj&#10;nZtJ7b9JF2yhQZ2r/yXO6JoRQ56J3gakv2XNx2up5oy/qj5rLbIfcDjVPlQ7eDiqS5dBLtP3+7nS&#10;H3+3zS8AAAD//wMAUEsDBBQABgAIAAAAIQDlnB3W3AAAAAgBAAAPAAAAZHJzL2Rvd25yZXYueG1s&#10;TI/BTsMwEETvSPyDtUjcqNMgIhLiVFUlhLggmsLdjbdJWnsd2U4a/h5XHOhxZ0azb8rVbDSb0Pne&#10;koDlIgGG1FjVUyvga/f68AzMB0lKakso4Ac9rKrbm1IWyp5pi1MdWhZLyBdSQBfCUHDumw6N9As7&#10;IEXvYJ2RIZ6u5crJcyw3mqdJknEje4ofOjngpsPmVI9GgH5303e7add+fNtm9fHzkH7sJiHu7+b1&#10;C7CAc/gPwwU/okMVmfZ2JOWZFpDnWUwKeHxaArv4eRqF/Z/Aq5JfD6h+AQAA//8DAFBLAQItABQA&#10;BgAIAAAAIQC2gziS/gAAAOEBAAATAAAAAAAAAAAAAAAAAAAAAABbQ29udGVudF9UeXBlc10ueG1s&#10;UEsBAi0AFAAGAAgAAAAhADj9If/WAAAAlAEAAAsAAAAAAAAAAAAAAAAALwEAAF9yZWxzLy5yZWxz&#10;UEsBAi0AFAAGAAgAAAAhAGQ194i0AQAAtgMAAA4AAAAAAAAAAAAAAAAALgIAAGRycy9lMm9Eb2Mu&#10;eG1sUEsBAi0AFAAGAAgAAAAhAOWcHdbcAAAACAEAAA8AAAAAAAAAAAAAAAAADgQAAGRycy9kb3du&#10;cmV2LnhtbFBLBQYAAAAABAAEAPMAAAAXBQAAAAA=&#10;" strokecolor="black [3200]" strokeweight=".5pt">
                      <v:stroke joinstyle="miter"/>
                    </v:line>
                  </w:pict>
                </mc:Fallback>
              </mc:AlternateContent>
            </w:r>
            <w:r w:rsidRPr="004A24EA">
              <w:rPr>
                <w:rFonts w:eastAsia="Times New Roman" w:cs="Times New Roman"/>
                <w:b/>
                <w:bCs/>
                <w:color w:val="000000"/>
                <w:szCs w:val="26"/>
              </w:rPr>
              <w:t>CHÍNH PHỦ</w:t>
            </w:r>
          </w:p>
        </w:tc>
        <w:tc>
          <w:tcPr>
            <w:tcW w:w="5812" w:type="dxa"/>
            <w:tcMar>
              <w:top w:w="0" w:type="dxa"/>
              <w:left w:w="108" w:type="dxa"/>
              <w:bottom w:w="0" w:type="dxa"/>
              <w:right w:w="108" w:type="dxa"/>
            </w:tcMar>
            <w:hideMark/>
          </w:tcPr>
          <w:p w:rsidR="004A24EA" w:rsidRDefault="004A24EA" w:rsidP="004A24EA">
            <w:pPr>
              <w:spacing w:line="276" w:lineRule="auto"/>
              <w:jc w:val="center"/>
              <w:rPr>
                <w:rFonts w:eastAsia="Times New Roman" w:cs="Times New Roman"/>
                <w:color w:val="222222"/>
                <w:szCs w:val="26"/>
              </w:rPr>
            </w:pPr>
            <w:r w:rsidRPr="004A24EA">
              <w:rPr>
                <w:rFonts w:eastAsia="Times New Roman" w:cs="Times New Roman"/>
                <w:b/>
                <w:bCs/>
                <w:color w:val="000000"/>
                <w:szCs w:val="26"/>
              </w:rPr>
              <w:t>CỘNG HÒA XÃ HỘI CHỦ NGHĨA VIỆT NAM</w:t>
            </w:r>
          </w:p>
          <w:p w:rsidR="004A24EA" w:rsidRPr="004A24EA" w:rsidRDefault="004A24EA" w:rsidP="004A24EA">
            <w:pPr>
              <w:spacing w:line="276" w:lineRule="auto"/>
              <w:jc w:val="center"/>
              <w:rPr>
                <w:rFonts w:eastAsia="Times New Roman" w:cs="Times New Roman"/>
                <w:color w:val="222222"/>
                <w:szCs w:val="26"/>
              </w:rPr>
            </w:pPr>
            <w:r w:rsidRPr="004A24EA">
              <w:rPr>
                <w:rFonts w:eastAsia="Times New Roman" w:cs="Times New Roman"/>
                <w:b/>
                <w:bCs/>
                <w:color w:val="000000"/>
                <w:szCs w:val="26"/>
              </w:rPr>
              <w:t>Độc lập – Tự do – Hạnh phúc</w:t>
            </w:r>
          </w:p>
          <w:p w:rsidR="004A24EA" w:rsidRPr="004A24EA" w:rsidRDefault="004A24EA" w:rsidP="004A24EA">
            <w:pPr>
              <w:spacing w:before="100" w:beforeAutospacing="1" w:line="240" w:lineRule="auto"/>
              <w:rPr>
                <w:rFonts w:eastAsia="Times New Roman" w:cs="Times New Roman"/>
                <w:color w:val="222222"/>
                <w:szCs w:val="26"/>
              </w:rPr>
            </w:pPr>
            <w:r>
              <w:rPr>
                <w:rFonts w:eastAsia="Times New Roman" w:cs="Times New Roman"/>
                <w:noProof/>
                <w:color w:val="222222"/>
                <w:szCs w:val="26"/>
              </w:rPr>
              <mc:AlternateContent>
                <mc:Choice Requires="wps">
                  <w:drawing>
                    <wp:anchor distT="0" distB="0" distL="114300" distR="114300" simplePos="0" relativeHeight="251660288" behindDoc="0" locked="0" layoutInCell="1" allowOverlap="1" wp14:anchorId="1BF6B471" wp14:editId="62751EA7">
                      <wp:simplePos x="0" y="0"/>
                      <wp:positionH relativeFrom="column">
                        <wp:posOffset>719467</wp:posOffset>
                      </wp:positionH>
                      <wp:positionV relativeFrom="paragraph">
                        <wp:posOffset>4262</wp:posOffset>
                      </wp:positionV>
                      <wp:extent cx="2060789" cy="0"/>
                      <wp:effectExtent l="0" t="0" r="34925" b="19050"/>
                      <wp:wrapNone/>
                      <wp:docPr id="2" name="Straight Connector 2"/>
                      <wp:cNvGraphicFramePr/>
                      <a:graphic xmlns:a="http://schemas.openxmlformats.org/drawingml/2006/main">
                        <a:graphicData uri="http://schemas.microsoft.com/office/word/2010/wordprocessingShape">
                          <wps:wsp>
                            <wps:cNvCnPr/>
                            <wps:spPr>
                              <a:xfrm flipV="1">
                                <a:off x="0" y="0"/>
                                <a:ext cx="206078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7E2952"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65pt,.35pt" to="218.9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AfcvwEAAMEDAAAOAAAAZHJzL2Uyb0RvYy54bWysU01v3CAQvVfqf0Dcu/b6kKbWenPYqLlE&#10;7appeycY1ijAoIGsvf++A951o35IVZULYuDNm3mPYXMzOcuOCqMB3/H1quZMeQm98YeOf/v68d01&#10;ZzEJ3wsLXnX8pCK/2b59sxlDqxoYwPYKGZH42I6h40NKoa2qKAflRFxBUJ4uNaATiUI8VD2Kkdid&#10;rZq6vqpGwD4gSBUjnd7Ol3xb+LVWMn3WOqrEbMept1RWLOtjXqvtRrQHFGEw8tyG+I8unDCeii5U&#10;tyIJ9ozmNypnJEIEnVYSXAVaG6mKBlKzrn9R8zCIoIoWMieGxab4erTy03GPzPQdbzjzwtETPSQU&#10;5jAktgPvyUBA1mSfxhBbgu/8Hs9RDHvMoieNjmlrwncagWIDCWNTcfm0uKymxCQdNvVV/f76A2fy&#10;clfNFJkqYEx3ChzLm45b47MBohXH+5ioLEEvEApyS3MTZZdOVmWw9V+UJlFUbG6njJPaWWRHQYPQ&#10;P62zIOIqyJyijbVLUl1K/jXpjM1pqozYvyYu6FIRfFoSnfGAf6qapkuresZfVM9as+xH6E/lSYod&#10;NCdF2Xmm8yC+jEv6z5+3/QEAAP//AwBQSwMEFAAGAAgAAAAhAGPbD8TXAAAABQEAAA8AAABkcnMv&#10;ZG93bnJldi54bWxMj8FuwjAQRO+V+g/WVuJWbEghKI2DAKnqucCFmxMvSdR4HWID6d93ObXHpxnN&#10;vs3Xo+vEDYfQetIwmyoQSJW3LdUajoeP1xWIEA1Z03lCDT8YYF08P+Ums/5OX3jbx1rwCIXMaGhi&#10;7DMpQ9WgM2HqeyTOzn5wJjIOtbSDufO46+RcqaV0piW+0Jgedw1W3/ur03D4dGosY7tDuqRqc9ou&#10;lnRaaD15GTfvICKO8a8MD31Wh4KdSn8lG0THPEsSrmpIQXD8lqT8SflAWeTyv33xCwAA//8DAFBL&#10;AQItABQABgAIAAAAIQC2gziS/gAAAOEBAAATAAAAAAAAAAAAAAAAAAAAAABbQ29udGVudF9UeXBl&#10;c10ueG1sUEsBAi0AFAAGAAgAAAAhADj9If/WAAAAlAEAAAsAAAAAAAAAAAAAAAAALwEAAF9yZWxz&#10;Ly5yZWxzUEsBAi0AFAAGAAgAAAAhAPQsB9y/AQAAwQMAAA4AAAAAAAAAAAAAAAAALgIAAGRycy9l&#10;Mm9Eb2MueG1sUEsBAi0AFAAGAAgAAAAhAGPbD8TXAAAABQEAAA8AAAAAAAAAAAAAAAAAGQQAAGRy&#10;cy9kb3ducmV2LnhtbFBLBQYAAAAABAAEAPMAAAAdBQAAAAA=&#10;" strokecolor="black [3200]" strokeweight=".5pt">
                      <v:stroke joinstyle="miter"/>
                    </v:line>
                  </w:pict>
                </mc:Fallback>
              </mc:AlternateContent>
            </w:r>
          </w:p>
        </w:tc>
      </w:tr>
      <w:tr w:rsidR="004A24EA" w:rsidRPr="004A24EA" w:rsidTr="004A24EA">
        <w:tc>
          <w:tcPr>
            <w:tcW w:w="2977" w:type="dxa"/>
            <w:tcMar>
              <w:top w:w="0" w:type="dxa"/>
              <w:left w:w="108" w:type="dxa"/>
              <w:bottom w:w="0" w:type="dxa"/>
              <w:right w:w="108" w:type="dxa"/>
            </w:tcMar>
          </w:tcPr>
          <w:p w:rsidR="004A24EA" w:rsidRPr="004A24EA" w:rsidRDefault="004A24EA" w:rsidP="004A24EA">
            <w:pPr>
              <w:spacing w:before="100" w:beforeAutospacing="1" w:line="240" w:lineRule="auto"/>
              <w:jc w:val="center"/>
              <w:rPr>
                <w:rFonts w:eastAsia="Times New Roman" w:cs="Times New Roman"/>
                <w:b/>
                <w:bCs/>
                <w:color w:val="000000"/>
                <w:szCs w:val="26"/>
              </w:rPr>
            </w:pPr>
            <w:r w:rsidRPr="004A24EA">
              <w:rPr>
                <w:rFonts w:eastAsia="Times New Roman" w:cs="Times New Roman"/>
                <w:color w:val="000000"/>
                <w:szCs w:val="26"/>
              </w:rPr>
              <w:t xml:space="preserve">Số: </w:t>
            </w:r>
            <w:bookmarkStart w:id="0" w:name="_GoBack"/>
            <w:r w:rsidRPr="004A24EA">
              <w:rPr>
                <w:rFonts w:eastAsia="Times New Roman" w:cs="Times New Roman"/>
                <w:color w:val="000000"/>
                <w:szCs w:val="26"/>
              </w:rPr>
              <w:t>98/NQ-CP</w:t>
            </w:r>
            <w:bookmarkEnd w:id="0"/>
          </w:p>
        </w:tc>
        <w:tc>
          <w:tcPr>
            <w:tcW w:w="5812" w:type="dxa"/>
            <w:tcMar>
              <w:top w:w="0" w:type="dxa"/>
              <w:left w:w="108" w:type="dxa"/>
              <w:bottom w:w="0" w:type="dxa"/>
              <w:right w:w="108" w:type="dxa"/>
            </w:tcMar>
          </w:tcPr>
          <w:p w:rsidR="004A24EA" w:rsidRPr="004A24EA" w:rsidRDefault="004A24EA" w:rsidP="004A24EA">
            <w:pPr>
              <w:spacing w:line="276" w:lineRule="auto"/>
              <w:jc w:val="center"/>
              <w:rPr>
                <w:rFonts w:eastAsia="Times New Roman" w:cs="Times New Roman"/>
                <w:b/>
                <w:bCs/>
                <w:color w:val="000000"/>
                <w:szCs w:val="26"/>
              </w:rPr>
            </w:pPr>
            <w:r w:rsidRPr="004A24EA">
              <w:rPr>
                <w:rFonts w:eastAsia="Times New Roman" w:cs="Times New Roman"/>
                <w:i/>
                <w:iCs/>
                <w:color w:val="000000"/>
                <w:szCs w:val="26"/>
              </w:rPr>
              <w:t>Hà Nội, ngày 10 tháng 7 năm 2023</w:t>
            </w:r>
          </w:p>
        </w:tc>
      </w:tr>
    </w:tbl>
    <w:p w:rsidR="004A24EA" w:rsidRPr="004A24EA" w:rsidRDefault="004A24EA" w:rsidP="004A24EA">
      <w:pPr>
        <w:spacing w:before="100" w:beforeAutospacing="1" w:line="240" w:lineRule="auto"/>
        <w:jc w:val="both"/>
        <w:rPr>
          <w:rFonts w:eastAsia="Times New Roman" w:cs="Times New Roman"/>
          <w:color w:val="222222"/>
          <w:szCs w:val="26"/>
        </w:rPr>
      </w:pPr>
      <w:r w:rsidRPr="004A24EA">
        <w:rPr>
          <w:rFonts w:eastAsia="Times New Roman" w:cs="Times New Roman"/>
          <w:color w:val="222222"/>
          <w:szCs w:val="26"/>
        </w:rPr>
        <w:t>                                                                  </w:t>
      </w:r>
    </w:p>
    <w:p w:rsidR="004A24EA" w:rsidRPr="004A24EA" w:rsidRDefault="004A24EA" w:rsidP="004A24EA">
      <w:pPr>
        <w:spacing w:before="100" w:beforeAutospacing="1" w:line="240" w:lineRule="auto"/>
        <w:jc w:val="center"/>
        <w:rPr>
          <w:rFonts w:eastAsia="Times New Roman" w:cs="Times New Roman"/>
          <w:color w:val="222222"/>
          <w:szCs w:val="26"/>
        </w:rPr>
      </w:pPr>
      <w:r w:rsidRPr="004A24EA">
        <w:rPr>
          <w:rFonts w:eastAsia="Times New Roman" w:cs="Times New Roman"/>
          <w:b/>
          <w:bCs/>
          <w:color w:val="000000"/>
          <w:szCs w:val="26"/>
        </w:rPr>
        <w:t>NGHỊ QUYẾT</w:t>
      </w:r>
    </w:p>
    <w:p w:rsidR="004A24EA" w:rsidRPr="004A24EA" w:rsidRDefault="004A24EA" w:rsidP="004A24EA">
      <w:pPr>
        <w:spacing w:before="100" w:beforeAutospacing="1" w:line="240" w:lineRule="auto"/>
        <w:jc w:val="center"/>
        <w:rPr>
          <w:rFonts w:eastAsia="Times New Roman" w:cs="Times New Roman"/>
          <w:color w:val="222222"/>
          <w:szCs w:val="26"/>
        </w:rPr>
      </w:pPr>
      <w:r w:rsidRPr="004A24EA">
        <w:rPr>
          <w:rFonts w:eastAsia="Times New Roman" w:cs="Times New Roman"/>
          <w:bCs/>
          <w:color w:val="000000"/>
          <w:szCs w:val="26"/>
        </w:rPr>
        <w:t>VỀ VIỆC BỐ TRÍ NGÂN SÁCH TRUNG ƯƠNG NĂM 2023 CHO BỘ Y TẾ</w:t>
      </w:r>
      <w:r w:rsidRPr="004A24EA">
        <w:rPr>
          <w:rFonts w:eastAsia="Times New Roman" w:cs="Times New Roman"/>
          <w:bCs/>
          <w:color w:val="000000"/>
          <w:szCs w:val="26"/>
        </w:rPr>
        <w:br/>
        <w:t>ĐỂ MUA VẮC XIN CHO CHƯƠNG TRÌNH TIÊM CHỦNG MỞ RỘNG</w:t>
      </w:r>
    </w:p>
    <w:p w:rsidR="004A24EA" w:rsidRPr="004A24EA" w:rsidRDefault="004A24EA" w:rsidP="004A24EA">
      <w:pPr>
        <w:spacing w:before="100" w:beforeAutospacing="1" w:line="276" w:lineRule="auto"/>
        <w:jc w:val="center"/>
        <w:rPr>
          <w:rFonts w:eastAsia="Times New Roman" w:cs="Times New Roman"/>
          <w:b/>
          <w:bCs/>
          <w:color w:val="000000"/>
          <w:szCs w:val="26"/>
        </w:rPr>
      </w:pPr>
      <w:r w:rsidRPr="004A24EA">
        <w:rPr>
          <w:rFonts w:eastAsia="Times New Roman" w:cs="Times New Roman"/>
          <w:b/>
          <w:bCs/>
          <w:color w:val="000000"/>
          <w:szCs w:val="26"/>
        </w:rPr>
        <w:t>CHÍNH PHỦ</w:t>
      </w:r>
    </w:p>
    <w:p w:rsidR="004A24EA" w:rsidRPr="004A24EA" w:rsidRDefault="004A24EA" w:rsidP="004A24EA">
      <w:pPr>
        <w:spacing w:line="276" w:lineRule="auto"/>
        <w:ind w:firstLine="720"/>
        <w:jc w:val="both"/>
        <w:rPr>
          <w:rFonts w:eastAsia="Times New Roman" w:cs="Times New Roman"/>
          <w:color w:val="222222"/>
          <w:szCs w:val="26"/>
        </w:rPr>
      </w:pPr>
      <w:r w:rsidRPr="004A24EA">
        <w:rPr>
          <w:rFonts w:eastAsia="Times New Roman" w:cs="Times New Roman"/>
          <w:i/>
          <w:iCs/>
          <w:color w:val="000000"/>
          <w:szCs w:val="26"/>
        </w:rPr>
        <w:t>Căn cứ Luật Tổ chức Chính phủ ngày 19 tháng 6 năm 2015;</w:t>
      </w:r>
    </w:p>
    <w:p w:rsidR="004A24EA" w:rsidRPr="004A24EA" w:rsidRDefault="004A24EA" w:rsidP="004A24EA">
      <w:pPr>
        <w:spacing w:line="276" w:lineRule="auto"/>
        <w:ind w:firstLine="720"/>
        <w:jc w:val="both"/>
        <w:rPr>
          <w:rFonts w:eastAsia="Times New Roman" w:cs="Times New Roman"/>
          <w:color w:val="222222"/>
          <w:szCs w:val="26"/>
        </w:rPr>
      </w:pPr>
      <w:r w:rsidRPr="004A24EA">
        <w:rPr>
          <w:rFonts w:eastAsia="Times New Roman" w:cs="Times New Roman"/>
          <w:i/>
          <w:iCs/>
          <w:color w:val="000000"/>
          <w:szCs w:val="26"/>
        </w:rPr>
        <w:t>Căn cứ Luật Tổ chức chính quyền địa phương ngày 19 tháng 6 năm 2015;</w:t>
      </w:r>
    </w:p>
    <w:p w:rsidR="004A24EA" w:rsidRPr="004A24EA" w:rsidRDefault="004A24EA" w:rsidP="004A24EA">
      <w:pPr>
        <w:spacing w:line="276" w:lineRule="auto"/>
        <w:ind w:firstLine="720"/>
        <w:jc w:val="both"/>
        <w:rPr>
          <w:rFonts w:eastAsia="Times New Roman" w:cs="Times New Roman"/>
          <w:color w:val="222222"/>
          <w:szCs w:val="26"/>
        </w:rPr>
      </w:pPr>
      <w:r w:rsidRPr="004A24EA">
        <w:rPr>
          <w:rFonts w:eastAsia="Times New Roman" w:cs="Times New Roman"/>
          <w:i/>
          <w:iCs/>
          <w:color w:val="000000"/>
          <w:szCs w:val="26"/>
        </w:rPr>
        <w:t>Căn cứ Luật sửa đổi, bổ sung một số điều của Luật Tổ chức Chính phủ và Luật Tổ chức chính quyền địa phương ngày 22 tháng 11 năm 2019;</w:t>
      </w:r>
    </w:p>
    <w:p w:rsidR="004A24EA" w:rsidRPr="004A24EA" w:rsidRDefault="004A24EA" w:rsidP="004A24EA">
      <w:pPr>
        <w:spacing w:line="276" w:lineRule="auto"/>
        <w:ind w:firstLine="720"/>
        <w:jc w:val="both"/>
        <w:rPr>
          <w:rFonts w:eastAsia="Times New Roman" w:cs="Times New Roman"/>
          <w:color w:val="222222"/>
          <w:szCs w:val="26"/>
        </w:rPr>
      </w:pPr>
      <w:r w:rsidRPr="004A24EA">
        <w:rPr>
          <w:rFonts w:eastAsia="Times New Roman" w:cs="Times New Roman"/>
          <w:i/>
          <w:iCs/>
          <w:color w:val="000000"/>
          <w:szCs w:val="26"/>
        </w:rPr>
        <w:t>Căn cứ Nghị quyết số 99/2023/QH15 ngày 24 tháng 6 năm 2023 của Quốc hội giám sát chuyên đề về việc huy động, quản lý và và sử dụng các nguồn lực phục vụ công tác phòng, chống dịch COVID-19; việc thực hiện chính sách, pháp luật về y tế cơ sở, y tế dự phòng;</w:t>
      </w:r>
    </w:p>
    <w:p w:rsidR="004A24EA" w:rsidRPr="004A24EA" w:rsidRDefault="004A24EA" w:rsidP="004A24EA">
      <w:pPr>
        <w:spacing w:line="276" w:lineRule="auto"/>
        <w:ind w:firstLine="720"/>
        <w:jc w:val="both"/>
        <w:rPr>
          <w:rFonts w:eastAsia="Times New Roman" w:cs="Times New Roman"/>
          <w:color w:val="222222"/>
          <w:szCs w:val="26"/>
        </w:rPr>
      </w:pPr>
      <w:r w:rsidRPr="004A24EA">
        <w:rPr>
          <w:rFonts w:eastAsia="Times New Roman" w:cs="Times New Roman"/>
          <w:i/>
          <w:iCs/>
          <w:color w:val="000000"/>
          <w:szCs w:val="26"/>
        </w:rPr>
        <w:t>Trên cơ sở xác định việc bảo đảm có vắc xin sớm nhất là một nhiệm vụ cấp bách, ảnh hưởng đến sức khỏe của nhân dân; theo đề nghị của Bộ trưởng Bộ Y tế, Bộ trưởng Bộ Tài chính và ý kiến thống nhất của các Thành viên Chính phủ.</w:t>
      </w:r>
    </w:p>
    <w:p w:rsidR="004A24EA" w:rsidRPr="004A24EA" w:rsidRDefault="004A24EA" w:rsidP="004A24EA">
      <w:pPr>
        <w:spacing w:before="100" w:beforeAutospacing="1" w:line="240" w:lineRule="auto"/>
        <w:jc w:val="center"/>
        <w:rPr>
          <w:rFonts w:eastAsia="Times New Roman" w:cs="Times New Roman"/>
          <w:color w:val="222222"/>
          <w:szCs w:val="26"/>
        </w:rPr>
      </w:pPr>
      <w:r w:rsidRPr="004A24EA">
        <w:rPr>
          <w:rFonts w:eastAsia="Times New Roman" w:cs="Times New Roman"/>
          <w:color w:val="222222"/>
          <w:szCs w:val="26"/>
        </w:rPr>
        <w:t> </w:t>
      </w:r>
    </w:p>
    <w:p w:rsidR="004A24EA" w:rsidRPr="004A24EA" w:rsidRDefault="004A24EA" w:rsidP="004A24EA">
      <w:pPr>
        <w:spacing w:before="100" w:beforeAutospacing="1" w:line="240" w:lineRule="auto"/>
        <w:jc w:val="center"/>
        <w:rPr>
          <w:rFonts w:eastAsia="Times New Roman" w:cs="Times New Roman"/>
          <w:color w:val="222222"/>
          <w:szCs w:val="26"/>
        </w:rPr>
      </w:pPr>
      <w:r w:rsidRPr="004A24EA">
        <w:rPr>
          <w:rFonts w:eastAsia="Times New Roman" w:cs="Times New Roman"/>
          <w:b/>
          <w:bCs/>
          <w:color w:val="000000"/>
          <w:szCs w:val="26"/>
        </w:rPr>
        <w:t>QUYẾT NGHỊ:</w:t>
      </w:r>
      <w:r w:rsidRPr="004A24EA">
        <w:rPr>
          <w:rFonts w:eastAsia="Times New Roman" w:cs="Times New Roman"/>
          <w:color w:val="222222"/>
          <w:szCs w:val="26"/>
        </w:rPr>
        <w:t> </w:t>
      </w:r>
    </w:p>
    <w:p w:rsidR="004A24EA" w:rsidRPr="004A24EA" w:rsidRDefault="004A24EA" w:rsidP="004A24EA">
      <w:pPr>
        <w:spacing w:before="100" w:beforeAutospacing="1" w:after="100" w:afterAutospacing="1" w:line="240" w:lineRule="auto"/>
        <w:ind w:firstLine="720"/>
        <w:jc w:val="both"/>
        <w:rPr>
          <w:rFonts w:eastAsia="Times New Roman" w:cs="Times New Roman"/>
          <w:color w:val="222222"/>
          <w:szCs w:val="26"/>
        </w:rPr>
      </w:pPr>
      <w:r w:rsidRPr="004A24EA">
        <w:rPr>
          <w:rFonts w:eastAsia="Times New Roman" w:cs="Times New Roman"/>
          <w:b/>
          <w:bCs/>
          <w:color w:val="000000"/>
          <w:szCs w:val="26"/>
        </w:rPr>
        <w:t>Điều 1. </w:t>
      </w:r>
      <w:r w:rsidRPr="004A24EA">
        <w:rPr>
          <w:rFonts w:eastAsia="Times New Roman" w:cs="Times New Roman"/>
          <w:color w:val="000000"/>
          <w:szCs w:val="26"/>
        </w:rPr>
        <w:t>Năm 2023, ngân sách trung ương tiếp tục bố trí cho Bộ Y tế để mua vắc xin tiêm chủng mở rộng cho tất cả các địa phương trên toàn quốc từ nguồn dự phòng ngân sách trung ương.</w:t>
      </w:r>
    </w:p>
    <w:p w:rsidR="004A24EA" w:rsidRPr="004A24EA" w:rsidRDefault="004A24EA" w:rsidP="004A24EA">
      <w:pPr>
        <w:spacing w:before="100" w:beforeAutospacing="1" w:after="100" w:afterAutospacing="1" w:line="240" w:lineRule="auto"/>
        <w:ind w:firstLine="720"/>
        <w:jc w:val="both"/>
        <w:rPr>
          <w:rFonts w:eastAsia="Times New Roman" w:cs="Times New Roman"/>
          <w:color w:val="222222"/>
          <w:szCs w:val="26"/>
        </w:rPr>
      </w:pPr>
      <w:r w:rsidRPr="004A24EA">
        <w:rPr>
          <w:rFonts w:eastAsia="Times New Roman" w:cs="Times New Roman"/>
          <w:b/>
          <w:bCs/>
          <w:color w:val="000000"/>
          <w:szCs w:val="26"/>
        </w:rPr>
        <w:t>Điều 2. </w:t>
      </w:r>
      <w:r w:rsidRPr="004A24EA">
        <w:rPr>
          <w:rFonts w:eastAsia="Times New Roman" w:cs="Times New Roman"/>
          <w:color w:val="000000"/>
          <w:szCs w:val="26"/>
        </w:rPr>
        <w:t>Tổ chức thực hiện</w:t>
      </w:r>
    </w:p>
    <w:p w:rsidR="004A24EA" w:rsidRPr="004A24EA" w:rsidRDefault="004A24EA" w:rsidP="004A24EA">
      <w:pPr>
        <w:spacing w:before="100" w:beforeAutospacing="1" w:after="100" w:afterAutospacing="1" w:line="240" w:lineRule="auto"/>
        <w:ind w:firstLine="720"/>
        <w:jc w:val="both"/>
        <w:rPr>
          <w:rFonts w:eastAsia="Times New Roman" w:cs="Times New Roman"/>
          <w:color w:val="222222"/>
          <w:szCs w:val="26"/>
        </w:rPr>
      </w:pPr>
      <w:r w:rsidRPr="004A24EA">
        <w:rPr>
          <w:rFonts w:eastAsia="Times New Roman" w:cs="Times New Roman"/>
          <w:color w:val="000000"/>
          <w:szCs w:val="26"/>
        </w:rPr>
        <w:t>1. Giao Bộ Y tế:</w:t>
      </w:r>
    </w:p>
    <w:p w:rsidR="004A24EA" w:rsidRPr="004A24EA" w:rsidRDefault="004A24EA" w:rsidP="004A24EA">
      <w:pPr>
        <w:spacing w:before="100" w:beforeAutospacing="1" w:after="100" w:afterAutospacing="1" w:line="240" w:lineRule="auto"/>
        <w:ind w:firstLine="720"/>
        <w:jc w:val="both"/>
        <w:rPr>
          <w:rFonts w:eastAsia="Times New Roman" w:cs="Times New Roman"/>
          <w:color w:val="222222"/>
          <w:szCs w:val="26"/>
        </w:rPr>
      </w:pPr>
      <w:r w:rsidRPr="004A24EA">
        <w:rPr>
          <w:rFonts w:eastAsia="Times New Roman" w:cs="Times New Roman"/>
          <w:color w:val="000000"/>
          <w:szCs w:val="26"/>
        </w:rPr>
        <w:t>a) Hướng dẫn các địa phương lập kế hoạch, xác định nhu cầu vắc xin theo từng chủng loại, cơ cấu vắc xin cần thiết, danh mục, lộ trình tiếp nhận từng loại vắc xin đảm bảo lộ trình tăng số lượng vắc xin trong tiêm chủng mở rộng theo Nghị quyết số 104/NQ-CP ngày 15 tháng 8 năm 2022 của Chính phủ thống nhất trong toàn quốc, để làm cơ sở xác định nhu cầu, bố trí kinh phí; quản lý và sử dụng vắc xin theo quy định.</w:t>
      </w:r>
    </w:p>
    <w:p w:rsidR="004A24EA" w:rsidRPr="004A24EA" w:rsidRDefault="004A24EA" w:rsidP="004A24EA">
      <w:pPr>
        <w:spacing w:before="100" w:beforeAutospacing="1" w:after="100" w:afterAutospacing="1" w:line="240" w:lineRule="auto"/>
        <w:ind w:firstLine="720"/>
        <w:jc w:val="both"/>
        <w:rPr>
          <w:rFonts w:eastAsia="Times New Roman" w:cs="Times New Roman"/>
          <w:color w:val="222222"/>
          <w:szCs w:val="26"/>
        </w:rPr>
      </w:pPr>
      <w:r w:rsidRPr="004A24EA">
        <w:rPr>
          <w:rFonts w:eastAsia="Times New Roman" w:cs="Times New Roman"/>
          <w:color w:val="000000"/>
          <w:szCs w:val="26"/>
        </w:rPr>
        <w:t>Tổ chức mua vắc xin tiêm chủng mở rộng theo đúng quy định, đảm bảo tiết kiệm, hiệu quả, kịp thời và an toàn.</w:t>
      </w:r>
    </w:p>
    <w:p w:rsidR="004A24EA" w:rsidRPr="004A24EA" w:rsidRDefault="004A24EA" w:rsidP="004A24EA">
      <w:pPr>
        <w:spacing w:before="100" w:beforeAutospacing="1" w:after="100" w:afterAutospacing="1" w:line="240" w:lineRule="auto"/>
        <w:ind w:firstLine="720"/>
        <w:jc w:val="both"/>
        <w:rPr>
          <w:rFonts w:eastAsia="Times New Roman" w:cs="Times New Roman"/>
          <w:color w:val="222222"/>
          <w:szCs w:val="26"/>
        </w:rPr>
      </w:pPr>
      <w:r w:rsidRPr="004A24EA">
        <w:rPr>
          <w:rFonts w:eastAsia="Times New Roman" w:cs="Times New Roman"/>
          <w:color w:val="000000"/>
          <w:szCs w:val="26"/>
        </w:rPr>
        <w:lastRenderedPageBreak/>
        <w:t>b) Căn cứ kế hoạch, nhu cầu vắc xin tiêm chủng mở rộng năm 2023 và 06 tháng đầu năm 2024 của Ủy ban nhân dân các tỉnh, thành phố trực thuộc trung ương, Bộ Y tế xây dựng dự toán kinh phí đảm bảo vắc xin tiêm chủng mở rộng cho toàn quốc năm 2023 gửi Bộ Tài chính trước ngày 15 tháng 7 năm 2023 để tổng hợp trình cấp có thẩm quyền bổ sung từ nguồn dự phòng ngân sách trung ương năm 2023 cho Bộ Y tế thực hiện.</w:t>
      </w:r>
    </w:p>
    <w:p w:rsidR="004A24EA" w:rsidRPr="004A24EA" w:rsidRDefault="004A24EA" w:rsidP="004A24EA">
      <w:pPr>
        <w:spacing w:before="100" w:beforeAutospacing="1" w:after="100" w:afterAutospacing="1" w:line="240" w:lineRule="auto"/>
        <w:ind w:firstLine="720"/>
        <w:jc w:val="both"/>
        <w:rPr>
          <w:rFonts w:eastAsia="Times New Roman" w:cs="Times New Roman"/>
          <w:color w:val="222222"/>
          <w:szCs w:val="26"/>
        </w:rPr>
      </w:pPr>
      <w:r w:rsidRPr="004A24EA">
        <w:rPr>
          <w:rFonts w:eastAsia="Times New Roman" w:cs="Times New Roman"/>
          <w:color w:val="000000"/>
          <w:szCs w:val="26"/>
        </w:rPr>
        <w:t>c) Trong tháng 7 năm 2023, trình Chính phủ ban hành Nghị định sửa đổi Nghị định số 104/2016/NĐ-CP ngày 01 tháng 7 năm 2016 quy định về hoạt động tiêm chủng theo trình tự, thủ tục rút gọn, đảm bảo phù hợp với quy định tại khoản 6 Điều 2 Nghị quyết số 99/2023/QH15 ngày 24 tháng 6 năm 2023 của Quốc hội.</w:t>
      </w:r>
    </w:p>
    <w:p w:rsidR="004A24EA" w:rsidRPr="004A24EA" w:rsidRDefault="004A24EA" w:rsidP="004A24EA">
      <w:pPr>
        <w:spacing w:before="100" w:beforeAutospacing="1" w:after="100" w:afterAutospacing="1" w:line="240" w:lineRule="auto"/>
        <w:ind w:firstLine="720"/>
        <w:jc w:val="both"/>
        <w:rPr>
          <w:rFonts w:eastAsia="Times New Roman" w:cs="Times New Roman"/>
          <w:color w:val="222222"/>
          <w:szCs w:val="26"/>
        </w:rPr>
      </w:pPr>
      <w:r w:rsidRPr="004A24EA">
        <w:rPr>
          <w:rFonts w:eastAsia="Times New Roman" w:cs="Times New Roman"/>
          <w:color w:val="000000"/>
          <w:szCs w:val="26"/>
        </w:rPr>
        <w:t>2. Giao Ủy ban nhân dân các tỉnh, thành phố trực thuộc trung ương căn cứ hướng dẫn của Bộ Y tế, rà soát, báo cáo nhu cầu vắc xin tiêm chủng mở rộng năm 2023 gửi Bộ Y tế trước ngày 12 tháng 7 năm 2023 để tổng hợp.</w:t>
      </w:r>
    </w:p>
    <w:p w:rsidR="004A24EA" w:rsidRPr="004A24EA" w:rsidRDefault="004A24EA" w:rsidP="004A24EA">
      <w:pPr>
        <w:spacing w:before="100" w:beforeAutospacing="1" w:after="100" w:afterAutospacing="1" w:line="240" w:lineRule="auto"/>
        <w:ind w:firstLine="720"/>
        <w:jc w:val="both"/>
        <w:rPr>
          <w:rFonts w:eastAsia="Times New Roman" w:cs="Times New Roman"/>
          <w:color w:val="222222"/>
          <w:szCs w:val="26"/>
        </w:rPr>
      </w:pPr>
      <w:r w:rsidRPr="004A24EA">
        <w:rPr>
          <w:rFonts w:eastAsia="Times New Roman" w:cs="Times New Roman"/>
          <w:color w:val="000000"/>
          <w:szCs w:val="26"/>
        </w:rPr>
        <w:t>3. Giao Bộ Tài chính, trên cơ sở Nghị quyết của Chính phủ, nhu cầu kinh phí mua vắc xin tiêm chủng mở rộng cho toàn quốc năm 2023 và 06 tháng đầu năm 2024 do Bộ Y tế báo cáo, tổng hợp trình Thủ tướng Chính phủ bổ sung từ nguồn dự phòng ngân sách trung ương năm 2023 cho Bộ Y tế thực hiện theo quy định tại điểm a khoản 2 Điều 10 Luật Ngân sách nhà nước và điểm a khoản 3 Điều 7 Nghị định số 163/2016/NĐ-CP ngày 21 tháng 12 năm 2016 của Chính phủ quy định chi tiết thi hành một số điều của Luật Ngân sách nhà nước; thời gian trình trước ngày 20 tháng 7 năm 2023.</w:t>
      </w:r>
    </w:p>
    <w:p w:rsidR="004A24EA" w:rsidRPr="004A24EA" w:rsidRDefault="004A24EA" w:rsidP="004A24EA">
      <w:pPr>
        <w:spacing w:before="100" w:beforeAutospacing="1" w:after="100" w:afterAutospacing="1" w:line="240" w:lineRule="auto"/>
        <w:ind w:firstLine="720"/>
        <w:jc w:val="both"/>
        <w:rPr>
          <w:rFonts w:eastAsia="Times New Roman" w:cs="Times New Roman"/>
          <w:color w:val="222222"/>
          <w:szCs w:val="26"/>
        </w:rPr>
      </w:pPr>
      <w:r w:rsidRPr="004A24EA">
        <w:rPr>
          <w:rFonts w:eastAsia="Times New Roman" w:cs="Times New Roman"/>
          <w:b/>
          <w:bCs/>
          <w:color w:val="000000"/>
          <w:szCs w:val="26"/>
        </w:rPr>
        <w:t>Điều 3. Điều khoản thi hành</w:t>
      </w:r>
    </w:p>
    <w:p w:rsidR="004A24EA" w:rsidRPr="004A24EA" w:rsidRDefault="004A24EA" w:rsidP="004A24EA">
      <w:pPr>
        <w:spacing w:before="100" w:beforeAutospacing="1" w:after="100" w:afterAutospacing="1" w:line="240" w:lineRule="auto"/>
        <w:ind w:firstLine="720"/>
        <w:jc w:val="both"/>
        <w:rPr>
          <w:rFonts w:eastAsia="Times New Roman" w:cs="Times New Roman"/>
          <w:color w:val="222222"/>
          <w:szCs w:val="26"/>
        </w:rPr>
      </w:pPr>
      <w:r w:rsidRPr="004A24EA">
        <w:rPr>
          <w:rFonts w:eastAsia="Times New Roman" w:cs="Times New Roman"/>
          <w:color w:val="000000"/>
          <w:szCs w:val="26"/>
        </w:rPr>
        <w:t>1. Nghị quyết này có hiệu lực thi hành kể từ ngày ký ban hành.</w:t>
      </w:r>
    </w:p>
    <w:p w:rsidR="004A24EA" w:rsidRDefault="004A24EA" w:rsidP="004A24EA">
      <w:pPr>
        <w:spacing w:before="100" w:beforeAutospacing="1" w:line="240" w:lineRule="auto"/>
        <w:ind w:firstLine="720"/>
        <w:jc w:val="both"/>
        <w:rPr>
          <w:rFonts w:eastAsia="Times New Roman" w:cs="Times New Roman"/>
          <w:color w:val="222222"/>
          <w:szCs w:val="26"/>
        </w:rPr>
      </w:pPr>
      <w:r w:rsidRPr="004A24EA">
        <w:rPr>
          <w:rFonts w:eastAsia="Times New Roman" w:cs="Times New Roman"/>
          <w:color w:val="000000"/>
          <w:szCs w:val="26"/>
        </w:rPr>
        <w:t>2. Các Bộ trưởng: Tài chính, Y tế, Chủ tịch Ủy ban nhân dân các tỉnh, thành phố trực thuộc trung ương và Thủ trưởng các cơ quan liên quan chịu trách nhiệm thi hành Nghị quyết này.</w:t>
      </w:r>
    </w:p>
    <w:p w:rsidR="004A24EA" w:rsidRPr="004A24EA" w:rsidRDefault="004A24EA" w:rsidP="004A24EA">
      <w:pPr>
        <w:rPr>
          <w:rFonts w:eastAsia="Times New Roman" w:cs="Times New Roman"/>
          <w:color w:val="222222"/>
          <w:szCs w:val="26"/>
        </w:rPr>
      </w:pPr>
      <w:r w:rsidRPr="004A24EA">
        <w:rPr>
          <w:rFonts w:eastAsia="Times New Roman" w:cs="Times New Roman"/>
          <w:color w:val="222222"/>
          <w:szCs w:val="26"/>
        </w:rPr>
        <w:t> </w:t>
      </w:r>
    </w:p>
    <w:tbl>
      <w:tblPr>
        <w:tblW w:w="8931" w:type="dxa"/>
        <w:tblCellMar>
          <w:left w:w="0" w:type="dxa"/>
          <w:right w:w="0" w:type="dxa"/>
        </w:tblCellMar>
        <w:tblLook w:val="04A0" w:firstRow="1" w:lastRow="0" w:firstColumn="1" w:lastColumn="0" w:noHBand="0" w:noVBand="1"/>
      </w:tblPr>
      <w:tblGrid>
        <w:gridCol w:w="6237"/>
        <w:gridCol w:w="2694"/>
      </w:tblGrid>
      <w:tr w:rsidR="004A24EA" w:rsidRPr="004A24EA" w:rsidTr="004A24EA">
        <w:tc>
          <w:tcPr>
            <w:tcW w:w="6237" w:type="dxa"/>
            <w:tcMar>
              <w:top w:w="0" w:type="dxa"/>
              <w:left w:w="108" w:type="dxa"/>
              <w:bottom w:w="0" w:type="dxa"/>
              <w:right w:w="108" w:type="dxa"/>
            </w:tcMar>
            <w:hideMark/>
          </w:tcPr>
          <w:p w:rsidR="004A24EA" w:rsidRPr="004A24EA" w:rsidRDefault="004A24EA" w:rsidP="004A24EA">
            <w:pPr>
              <w:spacing w:line="240" w:lineRule="auto"/>
              <w:rPr>
                <w:rFonts w:eastAsia="Times New Roman" w:cs="Times New Roman"/>
                <w:color w:val="222222"/>
                <w:szCs w:val="26"/>
              </w:rPr>
            </w:pPr>
            <w:r w:rsidRPr="004A24EA">
              <w:rPr>
                <w:rFonts w:eastAsia="Times New Roman" w:cs="Times New Roman"/>
                <w:b/>
                <w:bCs/>
                <w:i/>
                <w:iCs/>
                <w:color w:val="000000"/>
                <w:sz w:val="20"/>
                <w:szCs w:val="20"/>
              </w:rPr>
              <w:t>Nơi nhận:</w:t>
            </w:r>
          </w:p>
          <w:p w:rsidR="004A24EA" w:rsidRPr="004A24EA" w:rsidRDefault="004A24EA" w:rsidP="004A24EA">
            <w:pPr>
              <w:spacing w:line="240" w:lineRule="auto"/>
              <w:rPr>
                <w:rFonts w:eastAsia="Times New Roman" w:cs="Times New Roman"/>
                <w:color w:val="222222"/>
                <w:szCs w:val="26"/>
              </w:rPr>
            </w:pPr>
            <w:r w:rsidRPr="004A24EA">
              <w:rPr>
                <w:rFonts w:eastAsia="Times New Roman" w:cs="Times New Roman"/>
                <w:color w:val="000000"/>
                <w:sz w:val="20"/>
                <w:szCs w:val="20"/>
              </w:rPr>
              <w:t>- Ban Bí thư Trung ương Đảng;</w:t>
            </w:r>
          </w:p>
          <w:p w:rsidR="004A24EA" w:rsidRPr="004A24EA" w:rsidRDefault="004A24EA" w:rsidP="004A24EA">
            <w:pPr>
              <w:spacing w:line="240" w:lineRule="auto"/>
              <w:rPr>
                <w:rFonts w:eastAsia="Times New Roman" w:cs="Times New Roman"/>
                <w:color w:val="222222"/>
                <w:szCs w:val="26"/>
              </w:rPr>
            </w:pPr>
            <w:r w:rsidRPr="004A24EA">
              <w:rPr>
                <w:rFonts w:eastAsia="Times New Roman" w:cs="Times New Roman"/>
                <w:color w:val="000000"/>
                <w:sz w:val="20"/>
                <w:szCs w:val="20"/>
              </w:rPr>
              <w:t>- Thủ tướng, các Phó Thủ tướng Chính phủ;</w:t>
            </w:r>
          </w:p>
          <w:p w:rsidR="004A24EA" w:rsidRPr="004A24EA" w:rsidRDefault="004A24EA" w:rsidP="004A24EA">
            <w:pPr>
              <w:spacing w:line="240" w:lineRule="auto"/>
              <w:rPr>
                <w:rFonts w:eastAsia="Times New Roman" w:cs="Times New Roman"/>
                <w:color w:val="222222"/>
                <w:szCs w:val="26"/>
              </w:rPr>
            </w:pPr>
            <w:r w:rsidRPr="004A24EA">
              <w:rPr>
                <w:rFonts w:eastAsia="Times New Roman" w:cs="Times New Roman"/>
                <w:color w:val="000000"/>
                <w:sz w:val="20"/>
                <w:szCs w:val="20"/>
              </w:rPr>
              <w:t>- Các bộ, cơ quan ngang bộ, cơ quan thuộc Chính phủ;</w:t>
            </w:r>
          </w:p>
          <w:p w:rsidR="004A24EA" w:rsidRPr="004A24EA" w:rsidRDefault="004A24EA" w:rsidP="004A24EA">
            <w:pPr>
              <w:spacing w:line="240" w:lineRule="auto"/>
              <w:rPr>
                <w:rFonts w:eastAsia="Times New Roman" w:cs="Times New Roman"/>
                <w:color w:val="222222"/>
                <w:szCs w:val="26"/>
              </w:rPr>
            </w:pPr>
            <w:r w:rsidRPr="004A24EA">
              <w:rPr>
                <w:rFonts w:eastAsia="Times New Roman" w:cs="Times New Roman"/>
                <w:color w:val="000000"/>
                <w:sz w:val="20"/>
                <w:szCs w:val="20"/>
              </w:rPr>
              <w:t>- HĐND, UBND các tỉnh, thành phố trực thuộc trung ương;</w:t>
            </w:r>
          </w:p>
          <w:p w:rsidR="004A24EA" w:rsidRPr="004A24EA" w:rsidRDefault="004A24EA" w:rsidP="004A24EA">
            <w:pPr>
              <w:spacing w:line="240" w:lineRule="auto"/>
              <w:rPr>
                <w:rFonts w:eastAsia="Times New Roman" w:cs="Times New Roman"/>
                <w:color w:val="222222"/>
                <w:szCs w:val="26"/>
              </w:rPr>
            </w:pPr>
            <w:r w:rsidRPr="004A24EA">
              <w:rPr>
                <w:rFonts w:eastAsia="Times New Roman" w:cs="Times New Roman"/>
                <w:color w:val="000000"/>
                <w:sz w:val="20"/>
                <w:szCs w:val="20"/>
              </w:rPr>
              <w:t>- Văn phòng Trung ương và các Ban của Đảng;</w:t>
            </w:r>
          </w:p>
          <w:p w:rsidR="004A24EA" w:rsidRPr="004A24EA" w:rsidRDefault="004A24EA" w:rsidP="004A24EA">
            <w:pPr>
              <w:spacing w:line="240" w:lineRule="auto"/>
              <w:jc w:val="both"/>
              <w:rPr>
                <w:rFonts w:eastAsia="Times New Roman" w:cs="Times New Roman"/>
                <w:color w:val="222222"/>
                <w:szCs w:val="26"/>
              </w:rPr>
            </w:pPr>
            <w:r w:rsidRPr="004A24EA">
              <w:rPr>
                <w:rFonts w:eastAsia="Times New Roman" w:cs="Times New Roman"/>
                <w:color w:val="000000"/>
                <w:sz w:val="20"/>
                <w:szCs w:val="20"/>
              </w:rPr>
              <w:t>- Văn phòng Tổng Bí thư;</w:t>
            </w:r>
          </w:p>
          <w:p w:rsidR="004A24EA" w:rsidRPr="004A24EA" w:rsidRDefault="004A24EA" w:rsidP="004A24EA">
            <w:pPr>
              <w:spacing w:line="240" w:lineRule="auto"/>
              <w:jc w:val="both"/>
              <w:rPr>
                <w:rFonts w:eastAsia="Times New Roman" w:cs="Times New Roman"/>
                <w:color w:val="222222"/>
                <w:szCs w:val="26"/>
              </w:rPr>
            </w:pPr>
            <w:r w:rsidRPr="004A24EA">
              <w:rPr>
                <w:rFonts w:eastAsia="Times New Roman" w:cs="Times New Roman"/>
                <w:color w:val="000000"/>
                <w:sz w:val="20"/>
                <w:szCs w:val="20"/>
              </w:rPr>
              <w:t>- Văn phòng Chủ tịch nước;</w:t>
            </w:r>
          </w:p>
          <w:p w:rsidR="004A24EA" w:rsidRPr="004A24EA" w:rsidRDefault="004A24EA" w:rsidP="004A24EA">
            <w:pPr>
              <w:spacing w:line="240" w:lineRule="auto"/>
              <w:jc w:val="both"/>
              <w:rPr>
                <w:rFonts w:eastAsia="Times New Roman" w:cs="Times New Roman"/>
                <w:color w:val="222222"/>
                <w:szCs w:val="26"/>
              </w:rPr>
            </w:pPr>
            <w:r w:rsidRPr="004A24EA">
              <w:rPr>
                <w:rFonts w:eastAsia="Times New Roman" w:cs="Times New Roman"/>
                <w:color w:val="000000"/>
                <w:sz w:val="20"/>
                <w:szCs w:val="20"/>
              </w:rPr>
              <w:t>- Hội đồng Dân tộc và các Ủy ban của Quốc hội;</w:t>
            </w:r>
          </w:p>
          <w:p w:rsidR="004A24EA" w:rsidRPr="004A24EA" w:rsidRDefault="004A24EA" w:rsidP="004A24EA">
            <w:pPr>
              <w:spacing w:line="240" w:lineRule="auto"/>
              <w:jc w:val="both"/>
              <w:rPr>
                <w:rFonts w:eastAsia="Times New Roman" w:cs="Times New Roman"/>
                <w:color w:val="222222"/>
                <w:szCs w:val="26"/>
              </w:rPr>
            </w:pPr>
            <w:r w:rsidRPr="004A24EA">
              <w:rPr>
                <w:rFonts w:eastAsia="Times New Roman" w:cs="Times New Roman"/>
                <w:color w:val="000000"/>
                <w:sz w:val="20"/>
                <w:szCs w:val="20"/>
              </w:rPr>
              <w:t>- Văn phòng Quốc hội;</w:t>
            </w:r>
          </w:p>
          <w:p w:rsidR="004A24EA" w:rsidRPr="004A24EA" w:rsidRDefault="004A24EA" w:rsidP="004A24EA">
            <w:pPr>
              <w:spacing w:line="240" w:lineRule="auto"/>
              <w:jc w:val="both"/>
              <w:rPr>
                <w:rFonts w:eastAsia="Times New Roman" w:cs="Times New Roman"/>
                <w:color w:val="222222"/>
                <w:szCs w:val="26"/>
              </w:rPr>
            </w:pPr>
            <w:r w:rsidRPr="004A24EA">
              <w:rPr>
                <w:rFonts w:eastAsia="Times New Roman" w:cs="Times New Roman"/>
                <w:color w:val="000000"/>
                <w:sz w:val="20"/>
                <w:szCs w:val="20"/>
              </w:rPr>
              <w:t>- Tòa án nhân dân tối cao;</w:t>
            </w:r>
          </w:p>
          <w:p w:rsidR="004A24EA" w:rsidRPr="004A24EA" w:rsidRDefault="004A24EA" w:rsidP="004A24EA">
            <w:pPr>
              <w:spacing w:line="240" w:lineRule="auto"/>
              <w:jc w:val="both"/>
              <w:rPr>
                <w:rFonts w:eastAsia="Times New Roman" w:cs="Times New Roman"/>
                <w:color w:val="222222"/>
                <w:szCs w:val="26"/>
              </w:rPr>
            </w:pPr>
            <w:r w:rsidRPr="004A24EA">
              <w:rPr>
                <w:rFonts w:eastAsia="Times New Roman" w:cs="Times New Roman"/>
                <w:color w:val="000000"/>
                <w:sz w:val="20"/>
                <w:szCs w:val="20"/>
              </w:rPr>
              <w:t>- Viện kiểm sát nhân dân tối cao;</w:t>
            </w:r>
          </w:p>
          <w:p w:rsidR="004A24EA" w:rsidRPr="004A24EA" w:rsidRDefault="004A24EA" w:rsidP="004A24EA">
            <w:pPr>
              <w:spacing w:line="240" w:lineRule="auto"/>
              <w:jc w:val="both"/>
              <w:rPr>
                <w:rFonts w:eastAsia="Times New Roman" w:cs="Times New Roman"/>
                <w:color w:val="222222"/>
                <w:szCs w:val="26"/>
              </w:rPr>
            </w:pPr>
            <w:r w:rsidRPr="004A24EA">
              <w:rPr>
                <w:rFonts w:eastAsia="Times New Roman" w:cs="Times New Roman"/>
                <w:color w:val="000000"/>
                <w:sz w:val="20"/>
                <w:szCs w:val="20"/>
              </w:rPr>
              <w:t>- Ủy ban Giám sát tài chính Quốc gia;</w:t>
            </w:r>
          </w:p>
          <w:p w:rsidR="004A24EA" w:rsidRPr="004A24EA" w:rsidRDefault="004A24EA" w:rsidP="004A24EA">
            <w:pPr>
              <w:spacing w:line="240" w:lineRule="auto"/>
              <w:jc w:val="both"/>
              <w:rPr>
                <w:rFonts w:eastAsia="Times New Roman" w:cs="Times New Roman"/>
                <w:color w:val="222222"/>
                <w:szCs w:val="26"/>
              </w:rPr>
            </w:pPr>
            <w:r w:rsidRPr="004A24EA">
              <w:rPr>
                <w:rFonts w:eastAsia="Times New Roman" w:cs="Times New Roman"/>
                <w:color w:val="000000"/>
                <w:sz w:val="20"/>
                <w:szCs w:val="20"/>
              </w:rPr>
              <w:t>- Kiểm toán nhà nưóc;</w:t>
            </w:r>
          </w:p>
          <w:p w:rsidR="004A24EA" w:rsidRPr="004A24EA" w:rsidRDefault="004A24EA" w:rsidP="004A24EA">
            <w:pPr>
              <w:spacing w:line="240" w:lineRule="auto"/>
              <w:jc w:val="both"/>
              <w:rPr>
                <w:rFonts w:eastAsia="Times New Roman" w:cs="Times New Roman"/>
                <w:color w:val="222222"/>
                <w:szCs w:val="26"/>
              </w:rPr>
            </w:pPr>
            <w:r w:rsidRPr="004A24EA">
              <w:rPr>
                <w:rFonts w:eastAsia="Times New Roman" w:cs="Times New Roman"/>
                <w:color w:val="000000"/>
                <w:sz w:val="20"/>
                <w:szCs w:val="20"/>
              </w:rPr>
              <w:t>- Ủy ban trung ương Mặt trận Tổ quốc Việt Nam;</w:t>
            </w:r>
          </w:p>
          <w:p w:rsidR="004A24EA" w:rsidRPr="004A24EA" w:rsidRDefault="004A24EA" w:rsidP="004A24EA">
            <w:pPr>
              <w:spacing w:line="240" w:lineRule="auto"/>
              <w:jc w:val="both"/>
              <w:rPr>
                <w:rFonts w:eastAsia="Times New Roman" w:cs="Times New Roman"/>
                <w:color w:val="222222"/>
                <w:szCs w:val="26"/>
              </w:rPr>
            </w:pPr>
            <w:r w:rsidRPr="004A24EA">
              <w:rPr>
                <w:rFonts w:eastAsia="Times New Roman" w:cs="Times New Roman"/>
                <w:color w:val="000000"/>
                <w:sz w:val="20"/>
                <w:szCs w:val="20"/>
              </w:rPr>
              <w:t>- Cơ quan trung ương của các đoàn thể;</w:t>
            </w:r>
          </w:p>
          <w:p w:rsidR="004A24EA" w:rsidRPr="004A24EA" w:rsidRDefault="004A24EA" w:rsidP="004A24EA">
            <w:pPr>
              <w:spacing w:line="240" w:lineRule="auto"/>
              <w:rPr>
                <w:rFonts w:eastAsia="Times New Roman" w:cs="Times New Roman"/>
                <w:color w:val="222222"/>
                <w:szCs w:val="26"/>
              </w:rPr>
            </w:pPr>
            <w:r w:rsidRPr="004A24EA">
              <w:rPr>
                <w:rFonts w:eastAsia="Times New Roman" w:cs="Times New Roman"/>
                <w:color w:val="000000"/>
                <w:sz w:val="20"/>
                <w:szCs w:val="20"/>
              </w:rPr>
              <w:t>- VPCP: BTCN, các PCN, Trợ lý, Thư ký TTg, PTTg, TGĐ Cổng TTĐT, các Vụ, Cục, đơn vị trực thuộc, Công báo;</w:t>
            </w:r>
          </w:p>
          <w:p w:rsidR="004A24EA" w:rsidRPr="004A24EA" w:rsidRDefault="004A24EA" w:rsidP="004A24EA">
            <w:pPr>
              <w:spacing w:line="240" w:lineRule="auto"/>
              <w:rPr>
                <w:rFonts w:eastAsia="Times New Roman" w:cs="Times New Roman"/>
                <w:color w:val="222222"/>
                <w:szCs w:val="26"/>
              </w:rPr>
            </w:pPr>
            <w:r w:rsidRPr="004A24EA">
              <w:rPr>
                <w:rFonts w:eastAsia="Times New Roman" w:cs="Times New Roman"/>
                <w:color w:val="000000"/>
                <w:sz w:val="20"/>
                <w:szCs w:val="20"/>
              </w:rPr>
              <w:t>- Lưu: VT,KTTH(2b).</w:t>
            </w:r>
          </w:p>
        </w:tc>
        <w:tc>
          <w:tcPr>
            <w:tcW w:w="2694" w:type="dxa"/>
            <w:tcMar>
              <w:top w:w="0" w:type="dxa"/>
              <w:left w:w="108" w:type="dxa"/>
              <w:bottom w:w="0" w:type="dxa"/>
              <w:right w:w="108" w:type="dxa"/>
            </w:tcMar>
            <w:hideMark/>
          </w:tcPr>
          <w:p w:rsidR="004A24EA" w:rsidRPr="004A24EA" w:rsidRDefault="004A24EA" w:rsidP="004A24EA">
            <w:pPr>
              <w:spacing w:line="240" w:lineRule="auto"/>
              <w:jc w:val="center"/>
              <w:rPr>
                <w:rFonts w:eastAsia="Times New Roman" w:cs="Times New Roman"/>
                <w:color w:val="222222"/>
                <w:szCs w:val="26"/>
              </w:rPr>
            </w:pPr>
            <w:r w:rsidRPr="004A24EA">
              <w:rPr>
                <w:rFonts w:eastAsia="Times New Roman" w:cs="Times New Roman"/>
                <w:b/>
                <w:bCs/>
                <w:color w:val="000000"/>
                <w:szCs w:val="26"/>
              </w:rPr>
              <w:t>TM. CHÍNH PHỦ</w:t>
            </w:r>
          </w:p>
          <w:p w:rsidR="004A24EA" w:rsidRPr="004A24EA" w:rsidRDefault="004A24EA" w:rsidP="004A24EA">
            <w:pPr>
              <w:spacing w:line="240" w:lineRule="auto"/>
              <w:jc w:val="center"/>
              <w:rPr>
                <w:rFonts w:eastAsia="Times New Roman" w:cs="Times New Roman"/>
                <w:color w:val="222222"/>
                <w:szCs w:val="26"/>
              </w:rPr>
            </w:pPr>
            <w:r w:rsidRPr="004A24EA">
              <w:rPr>
                <w:rFonts w:eastAsia="Times New Roman" w:cs="Times New Roman"/>
                <w:b/>
                <w:bCs/>
                <w:color w:val="000000"/>
                <w:szCs w:val="26"/>
              </w:rPr>
              <w:t>T</w:t>
            </w:r>
            <w:r w:rsidRPr="004A24EA">
              <w:rPr>
                <w:rFonts w:eastAsia="Times New Roman" w:cs="Times New Roman"/>
                <w:b/>
                <w:bCs/>
                <w:color w:val="222222"/>
                <w:szCs w:val="26"/>
              </w:rPr>
              <w:t>HỦ TƯỚNG</w:t>
            </w:r>
          </w:p>
          <w:p w:rsidR="004A24EA" w:rsidRPr="004A24EA" w:rsidRDefault="004A24EA" w:rsidP="004A24EA">
            <w:pPr>
              <w:spacing w:line="240" w:lineRule="auto"/>
              <w:jc w:val="center"/>
              <w:rPr>
                <w:rFonts w:eastAsia="Times New Roman" w:cs="Times New Roman"/>
                <w:color w:val="222222"/>
                <w:szCs w:val="26"/>
              </w:rPr>
            </w:pPr>
            <w:r w:rsidRPr="004A24EA">
              <w:rPr>
                <w:rFonts w:eastAsia="Times New Roman" w:cs="Times New Roman"/>
                <w:color w:val="222222"/>
                <w:szCs w:val="26"/>
              </w:rPr>
              <w:t> </w:t>
            </w:r>
          </w:p>
          <w:p w:rsidR="004A24EA" w:rsidRPr="004A24EA" w:rsidRDefault="004A24EA" w:rsidP="004A24EA">
            <w:pPr>
              <w:spacing w:line="240" w:lineRule="auto"/>
              <w:jc w:val="center"/>
              <w:rPr>
                <w:rFonts w:eastAsia="Times New Roman" w:cs="Times New Roman"/>
                <w:color w:val="222222"/>
                <w:szCs w:val="26"/>
              </w:rPr>
            </w:pPr>
            <w:r w:rsidRPr="004A24EA">
              <w:rPr>
                <w:rFonts w:eastAsia="Times New Roman" w:cs="Times New Roman"/>
                <w:color w:val="222222"/>
                <w:szCs w:val="26"/>
              </w:rPr>
              <w:t> </w:t>
            </w:r>
          </w:p>
          <w:p w:rsidR="004A24EA" w:rsidRPr="004A24EA" w:rsidRDefault="004A24EA" w:rsidP="004A24EA">
            <w:pPr>
              <w:spacing w:line="240" w:lineRule="auto"/>
              <w:jc w:val="center"/>
              <w:rPr>
                <w:rFonts w:eastAsia="Times New Roman" w:cs="Times New Roman"/>
                <w:color w:val="222222"/>
                <w:szCs w:val="26"/>
              </w:rPr>
            </w:pPr>
            <w:r w:rsidRPr="004A24EA">
              <w:rPr>
                <w:rFonts w:eastAsia="Times New Roman" w:cs="Times New Roman"/>
                <w:color w:val="222222"/>
                <w:szCs w:val="26"/>
              </w:rPr>
              <w:t> </w:t>
            </w:r>
          </w:p>
          <w:p w:rsidR="004A24EA" w:rsidRPr="004A24EA" w:rsidRDefault="004A24EA" w:rsidP="004A24EA">
            <w:pPr>
              <w:spacing w:line="240" w:lineRule="auto"/>
              <w:jc w:val="center"/>
              <w:rPr>
                <w:rFonts w:eastAsia="Times New Roman" w:cs="Times New Roman"/>
                <w:color w:val="222222"/>
                <w:szCs w:val="26"/>
              </w:rPr>
            </w:pPr>
            <w:r w:rsidRPr="004A24EA">
              <w:rPr>
                <w:rFonts w:eastAsia="Times New Roman" w:cs="Times New Roman"/>
                <w:b/>
                <w:bCs/>
                <w:color w:val="222222"/>
                <w:szCs w:val="26"/>
              </w:rPr>
              <w:t>Phạm Minh Chính</w:t>
            </w:r>
          </w:p>
        </w:tc>
      </w:tr>
    </w:tbl>
    <w:p w:rsidR="001D0A37" w:rsidRPr="004A24EA" w:rsidRDefault="001D0A37">
      <w:pPr>
        <w:rPr>
          <w:rFonts w:cs="Times New Roman"/>
        </w:rPr>
      </w:pPr>
    </w:p>
    <w:sectPr w:rsidR="001D0A37" w:rsidRPr="004A24EA" w:rsidSect="004A24EA">
      <w:pgSz w:w="11906" w:h="16838"/>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Calibri Light">
    <w:panose1 w:val="020F0302020204030204"/>
    <w:charset w:val="A3"/>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4EA"/>
    <w:rsid w:val="001D0A37"/>
    <w:rsid w:val="004A24EA"/>
    <w:rsid w:val="004F7CCD"/>
    <w:rsid w:val="006D1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B2479"/>
  <w15:chartTrackingRefBased/>
  <w15:docId w15:val="{12F5767E-E187-4652-A1A9-141FB4A36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A24EA"/>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4A24EA"/>
    <w:rPr>
      <w:b/>
      <w:bCs/>
    </w:rPr>
  </w:style>
  <w:style w:type="character" w:styleId="Emphasis">
    <w:name w:val="Emphasis"/>
    <w:basedOn w:val="DefaultParagraphFont"/>
    <w:uiPriority w:val="20"/>
    <w:qFormat/>
    <w:rsid w:val="004A24E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851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644</Words>
  <Characters>3673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2023-07-10T04:20:00Z</dcterms:created>
  <dcterms:modified xsi:type="dcterms:W3CDTF">2023-07-10T04:28:00Z</dcterms:modified>
</cp:coreProperties>
</file>