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5685"/>
      </w:tblGrid>
      <w:tr w:rsidR="00D52212" w:rsidRPr="00B64858" w14:paraId="7CC49154" w14:textId="77777777" w:rsidTr="00D52212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0F62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bookmarkStart w:id="0" w:name="_GoBack"/>
            <w:bookmarkEnd w:id="0"/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CHÍNH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PHỦ</w:t>
            </w:r>
          </w:p>
          <w:p w14:paraId="438F5DA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vertAlign w:val="superscript"/>
              </w:rPr>
              <w:t>____________</w:t>
            </w:r>
          </w:p>
          <w:p w14:paraId="6E09A23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Số: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31/2022/NĐ-CP</w:t>
            </w:r>
          </w:p>
        </w:tc>
        <w:tc>
          <w:tcPr>
            <w:tcW w:w="5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24A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CỘNG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HÒA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XÃ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HỘI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CHỦ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NGHĨA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VIỆT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NAM</w:t>
            </w:r>
          </w:p>
          <w:p w14:paraId="54AB792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Độc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lập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-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Tự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-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Hạnh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phúc</w:t>
            </w:r>
          </w:p>
          <w:p w14:paraId="5152CBF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vertAlign w:val="superscript"/>
              </w:rPr>
              <w:t>_________________________</w:t>
            </w:r>
          </w:p>
          <w:p w14:paraId="7068BA6B" w14:textId="77777777" w:rsidR="00D52212" w:rsidRPr="00B64858" w:rsidRDefault="00D52212" w:rsidP="00D52212">
            <w:pPr>
              <w:spacing w:after="0" w:line="240" w:lineRule="auto"/>
              <w:ind w:firstLine="18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Hà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Nội,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ngày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20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tháng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5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2022</w:t>
            </w:r>
          </w:p>
        </w:tc>
      </w:tr>
    </w:tbl>
    <w:p w14:paraId="1C084A77" w14:textId="77777777" w:rsidR="00D52212" w:rsidRPr="00B64858" w:rsidRDefault="00461A35" w:rsidP="00D52212">
      <w:pPr>
        <w:spacing w:after="0" w:line="240" w:lineRule="auto"/>
        <w:ind w:firstLine="88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</w:p>
    <w:p w14:paraId="051D6FF5" w14:textId="77777777" w:rsidR="00D52212" w:rsidRPr="00B64858" w:rsidRDefault="00461A35" w:rsidP="00D52212">
      <w:pPr>
        <w:spacing w:after="0" w:line="240" w:lineRule="auto"/>
        <w:ind w:firstLine="88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</w:p>
    <w:p w14:paraId="555CAA5F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ĐỊNH</w:t>
      </w:r>
    </w:p>
    <w:p w14:paraId="5F00EA55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V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ề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v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ớ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i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br/>
        <w:t>khoản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nghiệp,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tác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xã,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hộ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doanh</w:t>
      </w:r>
    </w:p>
    <w:p w14:paraId="412AA754" w14:textId="77777777" w:rsidR="00D52212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1C62234D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Căn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cứ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Tổ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chức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phủ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19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th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á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6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2015;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sửa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ổ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i,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b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ổ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sung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một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ổ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chức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phủ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ổ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chức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quy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ề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địa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phương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22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th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á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11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2019;</w:t>
      </w:r>
    </w:p>
    <w:p w14:paraId="7BF0F605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Căn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cứ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25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6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2015;</w:t>
      </w:r>
    </w:p>
    <w:p w14:paraId="661B0EBB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Căn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cứ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tư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13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5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2019;</w:t>
      </w:r>
    </w:p>
    <w:p w14:paraId="371111F2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Căn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cứ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16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6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2010;</w:t>
      </w:r>
    </w:p>
    <w:p w14:paraId="24EA4DFA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Căn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cứ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ổ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chức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tín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16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6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2010;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sửa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ổ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i,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b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ổ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sung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một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ổ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chức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tín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20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11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2017;</w:t>
      </w:r>
    </w:p>
    <w:p w14:paraId="4BBE3A39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Căn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cứ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u w:color="FF0000"/>
          <w:lang w:val="vi-VN"/>
        </w:rPr>
        <w:t>quyết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u w:color="FF0000"/>
          <w:lang w:val="vi-VN"/>
        </w:rPr>
        <w:t>s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u w:color="FF0000"/>
        </w:rPr>
        <w:t>ố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43/2022/QH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1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5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11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2022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Quốc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hội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khóa,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tệ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Chương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phục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tri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ể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k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i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ế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xã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hội;</w:t>
      </w:r>
    </w:p>
    <w:p w14:paraId="5BCC84B5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u w:color="FF0000"/>
          <w:lang w:val="vi-VN"/>
        </w:rPr>
        <w:t>Thống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u w:color="FF0000"/>
          <w:lang w:val="vi-VN"/>
        </w:rPr>
        <w:t>đốc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V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i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ệt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Nam;</w:t>
      </w:r>
    </w:p>
    <w:p w14:paraId="500BF217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phủ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nghiệp,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tác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xã,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hộ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doanh.</w:t>
      </w:r>
    </w:p>
    <w:p w14:paraId="75532A21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  <w:bookmarkStart w:id="1" w:name="bookmark1"/>
      <w:bookmarkStart w:id="2" w:name="bookmark0"/>
      <w:bookmarkEnd w:id="1"/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1.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Phạm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vi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chỉnh</w:t>
      </w:r>
      <w:bookmarkEnd w:id="2"/>
    </w:p>
    <w:p w14:paraId="128422A9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đồng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động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nghiệp,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xã,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43/2022/QH15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11/NQ-CP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phủ.</w:t>
      </w:r>
    </w:p>
    <w:p w14:paraId="72326BCF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2.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tượng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áp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dụng</w:t>
      </w:r>
    </w:p>
    <w:p w14:paraId="135EC9CE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1.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lập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động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dụng.</w:t>
      </w:r>
    </w:p>
    <w:p w14:paraId="3670A300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2.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nghiệp,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xã,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(sau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gọi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sau:</w:t>
      </w:r>
    </w:p>
    <w:p w14:paraId="1A2A1590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đích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vốn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ngàn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đăng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27/2018/QĐ-TTg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06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7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2018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hệ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thống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(H),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lịch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(N79),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dịch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lưu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trú,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uống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(I),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đào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(P),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nghiệp,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lâm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nghiệp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thuỷ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(A),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nghiệp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biến,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(C),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phần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mềm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(J582),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Lập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máy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động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(J-62),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động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dịch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tin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(J-63);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động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ói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động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đích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động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(L)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27/2018/QĐ-TTg.</w:t>
      </w:r>
    </w:p>
    <w:p w14:paraId="5B89F1A1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đích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vốn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ở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ở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nhân,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cũ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bố.</w:t>
      </w:r>
    </w:p>
    <w:p w14:paraId="56078FCB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3.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chức,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quan.</w:t>
      </w:r>
    </w:p>
    <w:p w14:paraId="7B244492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3.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Nguyên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tắc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</w:p>
    <w:p w14:paraId="39678F79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1.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khai,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bạch,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tượng,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đích,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sách.</w:t>
      </w:r>
    </w:p>
    <w:p w14:paraId="54F7E74D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lastRenderedPageBreak/>
        <w:t>2.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đủ,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kịp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nguồn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hàng.</w:t>
      </w:r>
    </w:p>
    <w:p w14:paraId="457166B7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3.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hàng.</w:t>
      </w:r>
    </w:p>
    <w:p w14:paraId="2A7E49FB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4.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đánh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vốn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đích,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suất.</w:t>
      </w:r>
    </w:p>
    <w:p w14:paraId="49E8F14F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5.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nghĩa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2023.</w:t>
      </w:r>
    </w:p>
    <w:p w14:paraId="087E3659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6.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dừng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nguồn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tùy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trước.</w:t>
      </w:r>
    </w:p>
    <w:p w14:paraId="6CF7B538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4.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kiện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</w:p>
    <w:p w14:paraId="75F00AB8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1.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động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nhánh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ngoài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hàng.</w:t>
      </w:r>
    </w:p>
    <w:p w14:paraId="14D82BE8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2.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đồng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thỏa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vốn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đích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ề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chưa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khác.</w:t>
      </w:r>
    </w:p>
    <w:p w14:paraId="44192EE2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3.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sau:</w:t>
      </w:r>
    </w:p>
    <w:p w14:paraId="15287882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và/hoặc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chậm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nghĩa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điể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nằm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và/hoặc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chậm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trả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gốc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và/hoặc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chậm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trả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.</w:t>
      </w:r>
    </w:p>
    <w:p w14:paraId="4CA3D5FD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nợ.</w:t>
      </w:r>
    </w:p>
    <w:p w14:paraId="44551EAE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5.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</w:p>
    <w:p w14:paraId="1086D5E7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1.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và/hoặc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thỏa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giữa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phù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nguồn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vượt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2023.</w:t>
      </w:r>
    </w:p>
    <w:p w14:paraId="1FC8A67B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2.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2%/năm,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nằm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6FA792EC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6.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Phương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thức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</w:p>
    <w:p w14:paraId="0ABC6A90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dẫn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Nam.</w:t>
      </w:r>
    </w:p>
    <w:p w14:paraId="7950CF7B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7.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Lập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</w:p>
    <w:p w14:paraId="2C34923A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1.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Lập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</w:p>
    <w:p w14:paraId="77DA8E50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lập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c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</w:rPr>
        <w:t>ô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quan.</w:t>
      </w:r>
    </w:p>
    <w:p w14:paraId="16928BB3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15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đăng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ẫ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Nam.</w:t>
      </w:r>
    </w:p>
    <w:p w14:paraId="0F061697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lastRenderedPageBreak/>
        <w:t>c)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phạm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40.000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tỷ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đồng,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ầ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chính.</w:t>
      </w:r>
    </w:p>
    <w:p w14:paraId="779D5A0C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d)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cứ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Ủ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phép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triển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nguồn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định.</w:t>
      </w:r>
    </w:p>
    <w:p w14:paraId="6A946B3A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2.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</w:p>
    <w:p w14:paraId="5AE28D6D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cứ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Ủ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vốn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giao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hành.</w:t>
      </w:r>
    </w:p>
    <w:p w14:paraId="40586404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hiện.</w:t>
      </w:r>
    </w:p>
    <w:p w14:paraId="1A01C9FE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quý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liền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kề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riêng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IV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05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gồm:</w:t>
      </w:r>
    </w:p>
    <w:p w14:paraId="51AED543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rõ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85%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mại;</w:t>
      </w:r>
    </w:p>
    <w:p w14:paraId="3B3849D3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Mẫu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này;</w:t>
      </w:r>
    </w:p>
    <w:p w14:paraId="7974FF5D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kê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Mẫu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18757937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c)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quý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vượt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Riêng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IV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05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mại.</w:t>
      </w:r>
    </w:p>
    <w:p w14:paraId="6DB7F224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d)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15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lệnh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hiện.</w:t>
      </w:r>
    </w:p>
    <w:p w14:paraId="44D15400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vượt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chưa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chuyển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nguồn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luật.</w:t>
      </w:r>
    </w:p>
    <w:p w14:paraId="2D9066D5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triển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khai,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xem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xét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giữa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cần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thiết,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hiện.</w:t>
      </w:r>
    </w:p>
    <w:p w14:paraId="17C5C343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3.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</w:p>
    <w:p w14:paraId="18E09891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lập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tượng,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lastRenderedPageBreak/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pháp.</w:t>
      </w:r>
    </w:p>
    <w:p w14:paraId="7B49A121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sau:</w:t>
      </w:r>
    </w:p>
    <w:p w14:paraId="52B76081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thức:</w:t>
      </w:r>
    </w:p>
    <w:p w14:paraId="5FFE15E5" w14:textId="569A817C" w:rsidR="00D52212" w:rsidRPr="00B64858" w:rsidRDefault="002071EE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noProof/>
          <w:color w:val="000000"/>
          <w:sz w:val="20"/>
          <w:szCs w:val="20"/>
          <w:highlight w:val="white"/>
        </w:rPr>
        <w:drawing>
          <wp:inline distT="0" distB="0" distL="0" distR="0" wp14:anchorId="2D33E6F3" wp14:editId="06005A72">
            <wp:extent cx="1485900" cy="220980"/>
            <wp:effectExtent l="0" t="0" r="0" b="0"/>
            <wp:docPr id="1" name="Picture 2" descr="C:\Users\DELL\Downloads\S_31_2022_ND-CP_200522173037_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S_31_2022_ND-CP_200522173037_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AD4A6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ngân;</w:t>
      </w:r>
    </w:p>
    <w:p w14:paraId="1BDCB1B5" w14:textId="6C3F2F90" w:rsidR="00D52212" w:rsidRPr="00B64858" w:rsidRDefault="00461A35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2071EE" w:rsidRPr="00B64858">
        <w:rPr>
          <w:rFonts w:ascii="Arial" w:eastAsia="Times New Roman" w:hAnsi="Arial" w:cs="Arial"/>
          <w:noProof/>
          <w:color w:val="000000"/>
          <w:sz w:val="20"/>
          <w:szCs w:val="20"/>
          <w:highlight w:val="white"/>
        </w:rPr>
        <w:drawing>
          <wp:inline distT="0" distB="0" distL="0" distR="0" wp14:anchorId="3B2FB844" wp14:editId="05140637">
            <wp:extent cx="670560" cy="213360"/>
            <wp:effectExtent l="0" t="0" r="0" b="0"/>
            <wp:docPr id="2" name="Picture 1" descr="C:\Users\DELL\Downloads\S_31_2022_ND-CP_200522173037_file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S_31_2022_ND-CP_200522173037_files\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tích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giữa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ngân.</w:t>
      </w:r>
    </w:p>
    <w:p w14:paraId="7C9A3894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đó.</w:t>
      </w:r>
    </w:p>
    <w:p w14:paraId="43797F13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vượt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40.000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tỷ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ồ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ng.</w:t>
      </w:r>
    </w:p>
    <w:p w14:paraId="270CD8BE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4.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</w:p>
    <w:p w14:paraId="32E3A686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2024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(03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sơ).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rõ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còn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ẫ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04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kê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Mẫu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05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627830AE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chịu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lệ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suất.</w:t>
      </w:r>
    </w:p>
    <w:p w14:paraId="37F0606C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Mẫu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06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quan.</w:t>
      </w:r>
    </w:p>
    <w:p w14:paraId="1BAFE794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c)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cứ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(nếu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đồng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biết.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gồm:</w:t>
      </w:r>
    </w:p>
    <w:p w14:paraId="4653D229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chiếu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="00AF7F71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</w:t>
      </w:r>
      <w:r w:rsidR="00AF7F71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so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phù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nước.</w:t>
      </w:r>
    </w:p>
    <w:p w14:paraId="18B24DFB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thiếu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thừa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(n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có);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thấp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ổ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thì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chênh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lệch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thì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chênh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lệch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theo;</w:t>
      </w:r>
    </w:p>
    <w:p w14:paraId="0B665CEB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lastRenderedPageBreak/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vấn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tra,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tra,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giám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(nếu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có);</w:t>
      </w:r>
    </w:p>
    <w:p w14:paraId="710768D4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dung,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xét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(nếu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có).</w:t>
      </w:r>
    </w:p>
    <w:p w14:paraId="444D7577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d)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cần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thiết,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động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6AA03829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5.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AF7F71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7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43/2022/QH15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quan.</w:t>
      </w:r>
    </w:p>
    <w:p w14:paraId="1F97663F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6.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</w:p>
    <w:p w14:paraId="0E3A4134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ẫ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06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4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5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đồng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biết.</w:t>
      </w:r>
    </w:p>
    <w:p w14:paraId="6BE411D9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15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sau:</w:t>
      </w:r>
    </w:p>
    <w:p w14:paraId="278DA73F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tra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trước;</w:t>
      </w:r>
    </w:p>
    <w:p w14:paraId="0055E7A5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nằm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vốn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này;</w:t>
      </w:r>
    </w:p>
    <w:p w14:paraId="7AA44A8D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thiếu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thừa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(nếu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thấp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thì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chênh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lệch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ẩ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thì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chênh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lệch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theo;</w:t>
      </w:r>
    </w:p>
    <w:p w14:paraId="0BCD0A79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dung,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xét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(nếu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có).</w:t>
      </w:r>
    </w:p>
    <w:p w14:paraId="54178093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c)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cứ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sau:</w:t>
      </w:r>
    </w:p>
    <w:p w14:paraId="24AC5F38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2024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2023;</w:t>
      </w:r>
    </w:p>
    <w:p w14:paraId="03CDBCB1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còn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theo.</w:t>
      </w:r>
    </w:p>
    <w:p w14:paraId="06CC8182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8.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chương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trình</w:t>
      </w:r>
    </w:p>
    <w:p w14:paraId="6E911C55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1.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làm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6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7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ổ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đánh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lĩnh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vực;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ẫ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07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4FF8ED5A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2.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nguồn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hội.</w:t>
      </w:r>
    </w:p>
    <w:p w14:paraId="1BB674EF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9.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u w:color="FF0000"/>
          <w:lang w:val="vi-VN"/>
        </w:rPr>
        <w:t>Xử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u w:color="FF0000"/>
          <w:lang w:val="vi-VN"/>
        </w:rPr>
        <w:t>lý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u w:color="FF0000"/>
          <w:lang w:val="vi-VN"/>
        </w:rPr>
        <w:t>thu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="00AF7F71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u w:color="FF0000"/>
          <w:lang w:val="vi-VN"/>
        </w:rPr>
        <w:t>h</w:t>
      </w:r>
      <w:r w:rsidR="00AF7F71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u w:color="FF0000"/>
        </w:rPr>
        <w:t>ồ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u w:color="FF0000"/>
          <w:lang w:val="vi-VN"/>
        </w:rPr>
        <w:t>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</w:p>
    <w:p w14:paraId="41B0A321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lastRenderedPageBreak/>
        <w:t>1.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tượng,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vốn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đích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chuyển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thường,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đồng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báo.</w:t>
      </w:r>
    </w:p>
    <w:p w14:paraId="306F0C92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2.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ề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suất.</w:t>
      </w:r>
    </w:p>
    <w:p w14:paraId="2F41FFE0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3.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nhánh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tỉnh,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(nơi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đặt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sở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Ủ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dâ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tỉnh,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ẩ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suất.</w:t>
      </w:r>
    </w:p>
    <w:p w14:paraId="12020F1E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10.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Tổ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chức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hiện</w:t>
      </w:r>
    </w:p>
    <w:p w14:paraId="740AA419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1.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</w:p>
    <w:p w14:paraId="574647BF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Thống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dẫn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7B25AD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vượt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40.000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tỷ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đồng.</w:t>
      </w:r>
    </w:p>
    <w:p w14:paraId="3E3B3D2F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hoạc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mức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01A702E7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c)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tra,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giám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mại.</w:t>
      </w:r>
    </w:p>
    <w:p w14:paraId="7F270EB0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d)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186B6DAD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cần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thiết,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lập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gồm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4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7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động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nguyên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tắc,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vụ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khác.</w:t>
      </w:r>
    </w:p>
    <w:p w14:paraId="6C5B4EE6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khăn,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mắc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triển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khai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05EED195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2.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</w:p>
    <w:p w14:paraId="35EAF6B4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đủ,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kịp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nguồn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quan.</w:t>
      </w:r>
    </w:p>
    <w:p w14:paraId="12072C5D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2022,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2023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383D9E83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c)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khăn,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mắc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triển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khai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2EF6E04E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3.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</w:t>
      </w:r>
    </w:p>
    <w:p w14:paraId="5007EC92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khăn,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mắc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khăn,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mắc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vượt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quyền,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xem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xét,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định.</w:t>
      </w:r>
    </w:p>
    <w:p w14:paraId="5B0B8DE1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khăn,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mắc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triển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khai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654EDFB5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4.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</w:p>
    <w:p w14:paraId="1DE8FCF8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lastRenderedPageBreak/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ở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ở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nhân,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cũ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Ủ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tỉnh,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ương;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ă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30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Ủ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tỉnh,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ương.</w:t>
      </w:r>
    </w:p>
    <w:p w14:paraId="0E3D843F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khăn,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mắc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2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690729AB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c)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khăn,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vướng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mắc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triển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khai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52D67B95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5.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Ủ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tỉnh,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ương</w:t>
      </w:r>
    </w:p>
    <w:p w14:paraId="094FE3A4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Lập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ở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ở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nhân,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cũ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15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cần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thiết,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dung,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ầ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án;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ở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hội,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ở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nhân: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cấp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ẩ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phê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duyệt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thuê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phóng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mặt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bằng,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cấp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phép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miễn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cấp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phép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cũ: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chấp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trương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quan.</w:t>
      </w:r>
    </w:p>
    <w:p w14:paraId="58DCBC41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9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272EF3DD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c)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vấn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triển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khai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4F4E2E7D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6.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</w:p>
    <w:p w14:paraId="055A5D03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a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Chịu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76AEE945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đủ,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kịp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chịu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lệ,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2F37EA36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c)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cấp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thẩm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yêu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dấu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sao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y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thỏa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nhận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giấy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tờ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7E1F74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</w:t>
      </w:r>
      <w:r w:rsidR="007E1F74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y,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kê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ứ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sao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kê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ể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phiếu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chuyển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khác).</w:t>
      </w:r>
    </w:p>
    <w:p w14:paraId="0F20F40F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d)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ồ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iề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tượng,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vốn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đích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9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7E3FA023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khai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thời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dừng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6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3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69EF63DC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7.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</w:p>
    <w:p w14:paraId="1FD6E696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a)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cấp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cần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suất;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chịu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thực,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ầ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cấp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mại.</w:t>
      </w:r>
    </w:p>
    <w:p w14:paraId="1258BF0B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b)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vốn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đích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thỏa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thuận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mại.</w:t>
      </w:r>
    </w:p>
    <w:p w14:paraId="71A5C576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lastRenderedPageBreak/>
        <w:t>c)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tượng,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sử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dụng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vốn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sai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mục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đích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ề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kiện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9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chịu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luật.</w:t>
      </w:r>
    </w:p>
    <w:p w14:paraId="7F95301B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8.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Truyền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Truyền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nói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tấn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</w:p>
    <w:p w14:paraId="19637FE9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truyền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192ECA1D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  <w:bookmarkStart w:id="3" w:name="bookmark3"/>
      <w:bookmarkStart w:id="4" w:name="bookmark2"/>
      <w:bookmarkEnd w:id="3"/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11.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thi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hành</w:t>
      </w:r>
      <w:bookmarkEnd w:id="4"/>
    </w:p>
    <w:p w14:paraId="330C846A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1.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hành.</w:t>
      </w:r>
    </w:p>
    <w:p w14:paraId="0240B419" w14:textId="77777777" w:rsidR="00D52212" w:rsidRPr="00B64858" w:rsidRDefault="00D52212" w:rsidP="00D5221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2.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Thống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đốc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trưởng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trưởng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trưởng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Xây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trưởng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Bộ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Truyền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thông,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Chủ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tịch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Ủ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tỉnh,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trực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thuộc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ư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ơ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Chủ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tịch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đồng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trị/Hội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đồng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viên,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giám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đốc/Giám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ơ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chức,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có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liên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quan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chịu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nhiệm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y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.</w:t>
      </w:r>
    </w:p>
    <w:p w14:paraId="0749D18B" w14:textId="77777777" w:rsidR="00D52212" w:rsidRPr="00B64858" w:rsidRDefault="00461A35" w:rsidP="00D5221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5"/>
        <w:gridCol w:w="3018"/>
      </w:tblGrid>
      <w:tr w:rsidR="00D52212" w:rsidRPr="00B64858" w14:paraId="12956053" w14:textId="77777777" w:rsidTr="00D52212">
        <w:trPr>
          <w:trHeight w:val="4994"/>
        </w:trPr>
        <w:tc>
          <w:tcPr>
            <w:tcW w:w="6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664A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Nơi</w:t>
            </w:r>
            <w:r w:rsidR="00461A35" w:rsidRPr="00B648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nhận:</w:t>
            </w:r>
          </w:p>
          <w:p w14:paraId="1578F679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Ban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Bí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thư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Trung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ương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Đảng;</w:t>
            </w:r>
          </w:p>
          <w:p w14:paraId="5C944317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Thủ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tướng,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Phó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Thủ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tướng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Chính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phủ;</w:t>
            </w:r>
          </w:p>
          <w:p w14:paraId="3EDEBFF8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bộ,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cơ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quan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ngang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bộ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cơ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quan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thuộc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Chính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phủ;</w:t>
            </w:r>
          </w:p>
          <w:p w14:paraId="0277552E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HĐND,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UBND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tỉnh,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thành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phố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trực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thuộc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trung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ương;</w:t>
            </w:r>
          </w:p>
          <w:p w14:paraId="370B6F26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Văn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phòng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Trung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ương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và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Ban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của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Đảng;</w:t>
            </w:r>
          </w:p>
          <w:p w14:paraId="4CB3C971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Văn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phòng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Tổng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Bí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thư;</w:t>
            </w:r>
          </w:p>
          <w:p w14:paraId="2843CD38" w14:textId="77777777" w:rsidR="00D52212" w:rsidRPr="00B64858" w:rsidRDefault="00D52212" w:rsidP="00D52212">
            <w:pPr>
              <w:spacing w:after="0" w:line="240" w:lineRule="auto"/>
              <w:ind w:hanging="180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Văn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phòng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Chủ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tịch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nước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;</w:t>
            </w:r>
          </w:p>
          <w:p w14:paraId="4C2496AA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Hội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đồng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Dân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tộc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và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Ủ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ban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của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Quốc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hội;</w:t>
            </w:r>
          </w:p>
          <w:p w14:paraId="32B4CFE0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Văn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phòng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Quốc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hội;</w:t>
            </w:r>
          </w:p>
          <w:p w14:paraId="5D978F3A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Tò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a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án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nhân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dân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tối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cao;</w:t>
            </w:r>
          </w:p>
          <w:p w14:paraId="1A5E8F85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Viện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kiểm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sát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nhân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dân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tối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cao;</w:t>
            </w:r>
          </w:p>
          <w:p w14:paraId="38B4A6ED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Kiểm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nhà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nước;</w:t>
            </w:r>
          </w:p>
          <w:p w14:paraId="0574A220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</w:rPr>
              <w:t>Ủ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y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ban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Giám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sát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tài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chính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Quốc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gia;</w:t>
            </w:r>
          </w:p>
          <w:p w14:paraId="667C58CD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Chính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hội;</w:t>
            </w:r>
          </w:p>
          <w:p w14:paraId="4B678CA2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Phát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triển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Việt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Nam;</w:t>
            </w:r>
          </w:p>
          <w:p w14:paraId="5E8B0CB9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Ủ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ban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trung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ương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Mặt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trận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Tổ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quốc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Việt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Nam;</w:t>
            </w:r>
          </w:p>
          <w:p w14:paraId="1774084D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Cơ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quan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trung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ương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của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đoàn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thể;</w:t>
            </w:r>
          </w:p>
          <w:p w14:paraId="596F2572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VPCP: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BTCN,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PCN,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Trợ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lý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TTg,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TGĐ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cổng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TTĐT,</w:t>
            </w:r>
          </w:p>
          <w:p w14:paraId="17FC7E74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Vụ,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Cục,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đơn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vị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trực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thuộc,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Công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báo.</w:t>
            </w:r>
          </w:p>
          <w:p w14:paraId="4C8BDB2B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-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Lưu: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VT,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KTTH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(2)</w:t>
            </w:r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CED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TM.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CHÍNH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PHỦ</w:t>
            </w:r>
          </w:p>
          <w:p w14:paraId="0C03269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KT.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THỦ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TƯỚNG</w:t>
            </w:r>
          </w:p>
          <w:p w14:paraId="6FEC147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PHÓ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THỦ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TƯỚNG</w:t>
            </w:r>
          </w:p>
          <w:p w14:paraId="4EDA207A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211CBCEB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6688399E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13174FB9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005A2036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1C926D58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38798583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2903D1D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Lê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Minh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Khái</w:t>
            </w:r>
          </w:p>
        </w:tc>
      </w:tr>
    </w:tbl>
    <w:p w14:paraId="079D0D5F" w14:textId="77777777" w:rsidR="00D52212" w:rsidRPr="00B64858" w:rsidRDefault="00461A35" w:rsidP="00D52212">
      <w:pPr>
        <w:spacing w:after="0" w:line="240" w:lineRule="auto"/>
        <w:ind w:hanging="180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</w:p>
    <w:p w14:paraId="2F16B859" w14:textId="77777777" w:rsidR="00D52212" w:rsidRPr="00B64858" w:rsidRDefault="00D52212" w:rsidP="00D52212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br w:type="textWrapping" w:clear="all"/>
      </w:r>
    </w:p>
    <w:p w14:paraId="15AB0913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  <w:bookmarkStart w:id="5" w:name="bookmark5"/>
      <w:bookmarkStart w:id="6" w:name="bookmark4"/>
      <w:bookmarkEnd w:id="5"/>
    </w:p>
    <w:p w14:paraId="5D87D01A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3E476A1C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54BE86E4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2C49C70D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2565F89E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53FF9665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0F398819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2D26CDAC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44AD07DD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3D1394F5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33465585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2C4B92FA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6A525B7B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748C75A4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lastRenderedPageBreak/>
        <w:t>Phụ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lục</w:t>
      </w:r>
      <w:bookmarkEnd w:id="6"/>
    </w:p>
    <w:p w14:paraId="4B8A0D5D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</w:pP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Kèm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theo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31/2022/NĐ-CP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ngày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20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>tháng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5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2022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phủ)</w:t>
      </w:r>
    </w:p>
    <w:p w14:paraId="0A2F7B23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520"/>
      </w:tblGrid>
      <w:tr w:rsidR="00D52212" w:rsidRPr="00B64858" w14:paraId="07387474" w14:textId="77777777" w:rsidTr="00D52212">
        <w:trPr>
          <w:trHeight w:val="504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9392BA" w14:textId="77777777" w:rsidR="00D52212" w:rsidRPr="00B64858" w:rsidRDefault="00D52212" w:rsidP="00D52212">
            <w:pPr>
              <w:spacing w:after="0" w:line="240" w:lineRule="auto"/>
              <w:ind w:firstLine="160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Mẫu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01</w:t>
            </w:r>
          </w:p>
        </w:tc>
        <w:tc>
          <w:tcPr>
            <w:tcW w:w="7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70DF6E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Đăng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ký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kế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hoạch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hỗ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lãi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suất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theo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số...</w:t>
            </w:r>
          </w:p>
        </w:tc>
      </w:tr>
      <w:tr w:rsidR="00D52212" w:rsidRPr="00B64858" w14:paraId="0D9DBA6E" w14:textId="77777777" w:rsidTr="00D52212">
        <w:trPr>
          <w:trHeight w:val="486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D8326D" w14:textId="77777777" w:rsidR="00D52212" w:rsidRPr="00B64858" w:rsidRDefault="00D52212" w:rsidP="00D52212">
            <w:pPr>
              <w:spacing w:after="0" w:line="240" w:lineRule="auto"/>
              <w:ind w:firstLine="160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ẫ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02</w:t>
            </w:r>
          </w:p>
        </w:tc>
        <w:tc>
          <w:tcPr>
            <w:tcW w:w="7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013407C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Báo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cáo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tình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hình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thực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hiện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hỗ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lãi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suất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đối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với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</w:p>
        </w:tc>
      </w:tr>
      <w:tr w:rsidR="00D52212" w:rsidRPr="00B64858" w14:paraId="0FE43D57" w14:textId="77777777" w:rsidTr="00D52212">
        <w:trPr>
          <w:trHeight w:val="49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05B838" w14:textId="77777777" w:rsidR="00D52212" w:rsidRPr="00B64858" w:rsidRDefault="00D52212" w:rsidP="00D52212">
            <w:pPr>
              <w:spacing w:after="0" w:line="240" w:lineRule="auto"/>
              <w:ind w:firstLine="160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Mẫu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03</w:t>
            </w:r>
          </w:p>
        </w:tc>
        <w:tc>
          <w:tcPr>
            <w:tcW w:w="7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792745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Bảng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kê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chứng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từ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chứng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minh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được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hỗ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lãi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su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ấ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</w:t>
            </w:r>
          </w:p>
        </w:tc>
      </w:tr>
      <w:tr w:rsidR="00D52212" w:rsidRPr="00B64858" w14:paraId="6C087466" w14:textId="77777777" w:rsidTr="00D52212">
        <w:trPr>
          <w:trHeight w:val="482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211D9B8" w14:textId="77777777" w:rsidR="00D52212" w:rsidRPr="00B64858" w:rsidRDefault="00D52212" w:rsidP="00D52212">
            <w:pPr>
              <w:spacing w:after="0" w:line="240" w:lineRule="auto"/>
              <w:ind w:firstLine="160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Mẫu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04</w:t>
            </w:r>
          </w:p>
        </w:tc>
        <w:tc>
          <w:tcPr>
            <w:tcW w:w="7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DA3AA4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Báo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cáo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liệu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đề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tổng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hợp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quyết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hỗ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lãi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suất</w:t>
            </w:r>
          </w:p>
        </w:tc>
      </w:tr>
      <w:tr w:rsidR="00D52212" w:rsidRPr="00B64858" w14:paraId="3A4522C1" w14:textId="77777777" w:rsidTr="00D52212">
        <w:trPr>
          <w:trHeight w:val="490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66708E" w14:textId="77777777" w:rsidR="00D52212" w:rsidRPr="00B64858" w:rsidRDefault="00D52212" w:rsidP="00D52212">
            <w:pPr>
              <w:spacing w:after="0" w:line="240" w:lineRule="auto"/>
              <w:ind w:firstLine="160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Mẫu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05</w:t>
            </w:r>
          </w:p>
        </w:tc>
        <w:tc>
          <w:tcPr>
            <w:tcW w:w="7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F8C908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Bảng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kê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chứng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từ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chứng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minh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được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hỗ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lãi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suất</w:t>
            </w:r>
          </w:p>
        </w:tc>
      </w:tr>
      <w:tr w:rsidR="00D52212" w:rsidRPr="00B64858" w14:paraId="5CDA9D64" w14:textId="77777777" w:rsidTr="00D52212">
        <w:trPr>
          <w:trHeight w:val="814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95320B5" w14:textId="77777777" w:rsidR="00D52212" w:rsidRPr="00B64858" w:rsidRDefault="00D52212" w:rsidP="00D52212">
            <w:pPr>
              <w:spacing w:after="0" w:line="240" w:lineRule="auto"/>
              <w:ind w:firstLine="160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Mẫu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06</w:t>
            </w:r>
          </w:p>
          <w:p w14:paraId="551A6405" w14:textId="77777777" w:rsidR="00D52212" w:rsidRPr="00B64858" w:rsidRDefault="00461A35" w:rsidP="00D522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7BEA5B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Tổng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hợp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báo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cáo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quyết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hỗ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lãi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suất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của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2022/2023</w:t>
            </w:r>
          </w:p>
        </w:tc>
      </w:tr>
      <w:tr w:rsidR="00D52212" w:rsidRPr="00B64858" w14:paraId="5407BC66" w14:textId="77777777" w:rsidTr="00D52212">
        <w:trPr>
          <w:trHeight w:val="349"/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D4FABE" w14:textId="77777777" w:rsidR="00D52212" w:rsidRPr="00B64858" w:rsidRDefault="00D52212" w:rsidP="00D52212">
            <w:pPr>
              <w:spacing w:after="0" w:line="240" w:lineRule="auto"/>
              <w:ind w:firstLine="160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Mẫu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07</w:t>
            </w:r>
          </w:p>
        </w:tc>
        <w:tc>
          <w:tcPr>
            <w:tcW w:w="7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A416B4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Báo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cáo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tổng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hợp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kết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hỗ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lãi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suất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cả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chương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trình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02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2022,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2023</w:t>
            </w:r>
          </w:p>
        </w:tc>
      </w:tr>
    </w:tbl>
    <w:p w14:paraId="47D37A0F" w14:textId="77777777" w:rsidR="00D52212" w:rsidRPr="00B64858" w:rsidRDefault="00D52212" w:rsidP="00D52212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br w:type="textWrapping" w:clear="all"/>
      </w:r>
    </w:p>
    <w:p w14:paraId="16FE6599" w14:textId="77777777" w:rsidR="00D52212" w:rsidRPr="00B64858" w:rsidRDefault="00D52212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sectPr w:rsidR="00D52212" w:rsidRPr="00B64858" w:rsidSect="00624380"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  <w:bookmarkStart w:id="7" w:name="bookmark7"/>
      <w:bookmarkStart w:id="8" w:name="bookmark6"/>
      <w:bookmarkEnd w:id="7"/>
    </w:p>
    <w:p w14:paraId="388C5162" w14:textId="77777777" w:rsidR="00D52212" w:rsidRPr="00B64858" w:rsidRDefault="00D52212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lastRenderedPageBreak/>
        <w:t>M</w:t>
      </w:r>
      <w:bookmarkEnd w:id="8"/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ẫ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01</w:t>
      </w:r>
    </w:p>
    <w:tbl>
      <w:tblPr>
        <w:tblW w:w="928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783"/>
      </w:tblGrid>
      <w:tr w:rsidR="00D52212" w:rsidRPr="00B64858" w14:paraId="359FC3B3" w14:textId="77777777" w:rsidTr="00D52212">
        <w:trPr>
          <w:trHeight w:val="469"/>
        </w:trPr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FC4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TÊ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</w:p>
          <w:p w14:paraId="784D54A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vertAlign w:val="superscript"/>
              </w:rPr>
              <w:t>__________________</w:t>
            </w:r>
          </w:p>
        </w:tc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BC11" w14:textId="77777777" w:rsidR="00D52212" w:rsidRPr="00B64858" w:rsidRDefault="00461A35" w:rsidP="00D5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</w:tbl>
    <w:p w14:paraId="4D23769B" w14:textId="77777777" w:rsidR="00D52212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</w:p>
    <w:p w14:paraId="6489E436" w14:textId="77777777" w:rsidR="00D52212" w:rsidRPr="00B64858" w:rsidRDefault="00461A35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1904C589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  <w:bookmarkStart w:id="9" w:name="bookmark9"/>
      <w:bookmarkStart w:id="10" w:name="bookmark8"/>
      <w:bookmarkEnd w:id="9"/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</w:t>
      </w:r>
      <w:bookmarkEnd w:id="10"/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Ă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KÝ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KẾ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HOẠCH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Ố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...</w:t>
      </w:r>
    </w:p>
    <w:p w14:paraId="671ACB0B" w14:textId="77777777" w:rsidR="00D52212" w:rsidRPr="00B64858" w:rsidRDefault="00D52212" w:rsidP="00D5221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vị: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ồ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4036"/>
        <w:gridCol w:w="2074"/>
        <w:gridCol w:w="2347"/>
      </w:tblGrid>
      <w:tr w:rsidR="00D52212" w:rsidRPr="00B64858" w14:paraId="4A9720D3" w14:textId="77777777" w:rsidTr="00D52212">
        <w:trPr>
          <w:trHeight w:val="925"/>
          <w:jc w:val="center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EC60A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STT</w:t>
            </w:r>
          </w:p>
        </w:tc>
        <w:tc>
          <w:tcPr>
            <w:tcW w:w="40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43CF1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06C6D9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Dư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vay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bình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quân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kế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hoạch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(*)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B4F13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hỗ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lãi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suất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kế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hoạch</w:t>
            </w:r>
          </w:p>
        </w:tc>
      </w:tr>
      <w:tr w:rsidR="00D52212" w:rsidRPr="00B64858" w14:paraId="71B34DBA" w14:textId="77777777" w:rsidTr="00D52212">
        <w:trPr>
          <w:trHeight w:val="328"/>
          <w:jc w:val="center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D327E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(1)</w:t>
            </w:r>
          </w:p>
        </w:tc>
        <w:tc>
          <w:tcPr>
            <w:tcW w:w="40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AF90C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(2)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53034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(3)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B1AFD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(4)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=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2%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(3)</w:t>
            </w:r>
          </w:p>
        </w:tc>
      </w:tr>
      <w:tr w:rsidR="00D52212" w:rsidRPr="00B64858" w14:paraId="71E9CA59" w14:textId="77777777" w:rsidTr="00D52212">
        <w:trPr>
          <w:trHeight w:val="353"/>
          <w:jc w:val="center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6B9C02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</w:t>
            </w:r>
          </w:p>
        </w:tc>
        <w:tc>
          <w:tcPr>
            <w:tcW w:w="40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0C404D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2022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0B980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D4E88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692110BE" w14:textId="77777777" w:rsidTr="00D52212">
        <w:trPr>
          <w:trHeight w:val="353"/>
          <w:jc w:val="center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04BED4" w14:textId="77777777" w:rsidR="00D52212" w:rsidRPr="00B64858" w:rsidRDefault="00D52212" w:rsidP="00D52212">
            <w:pPr>
              <w:spacing w:after="0" w:line="240" w:lineRule="auto"/>
              <w:ind w:firstLine="280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</w:p>
        </w:tc>
        <w:tc>
          <w:tcPr>
            <w:tcW w:w="40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19A6A8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2023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1B342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AB993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25FF1557" w14:textId="77777777" w:rsidTr="00D52212">
        <w:trPr>
          <w:trHeight w:val="479"/>
          <w:jc w:val="center"/>
        </w:trPr>
        <w:tc>
          <w:tcPr>
            <w:tcW w:w="6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48C335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Tổng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cộng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9AAD8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</w:tbl>
    <w:p w14:paraId="45E27E87" w14:textId="77777777" w:rsidR="00D52212" w:rsidRPr="00B64858" w:rsidRDefault="00D52212" w:rsidP="00D52212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(*)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Dự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kiến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tượng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hoạch.</w:t>
      </w:r>
    </w:p>
    <w:p w14:paraId="1D1CD0CE" w14:textId="77777777" w:rsidR="00D52212" w:rsidRPr="00B64858" w:rsidRDefault="00D52212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</w:p>
    <w:tbl>
      <w:tblPr>
        <w:tblW w:w="1299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4127"/>
        <w:gridCol w:w="4127"/>
      </w:tblGrid>
      <w:tr w:rsidR="00D52212" w:rsidRPr="00B64858" w14:paraId="39F0E771" w14:textId="77777777" w:rsidTr="00120615">
        <w:trPr>
          <w:trHeight w:val="194"/>
        </w:trPr>
        <w:tc>
          <w:tcPr>
            <w:tcW w:w="47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433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bookmarkStart w:id="11" w:name="bookmark10"/>
            <w:bookmarkStart w:id="12" w:name="bookmark11"/>
            <w:bookmarkEnd w:id="12"/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NGƯỜI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LẬP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BIỂU</w:t>
            </w:r>
            <w:bookmarkEnd w:id="11"/>
          </w:p>
          <w:p w14:paraId="47B60FF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(Ký,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ghi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rõ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họ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tên)</w:t>
            </w:r>
          </w:p>
          <w:p w14:paraId="2E8F23C4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4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D00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KIỂM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SOÁT</w:t>
            </w:r>
          </w:p>
          <w:p w14:paraId="11493EE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(Ký,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ghi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rõ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họ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tên)</w:t>
            </w:r>
          </w:p>
          <w:p w14:paraId="41FE8533" w14:textId="77777777" w:rsidR="00D52212" w:rsidRPr="00B64858" w:rsidRDefault="00461A35" w:rsidP="00D5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1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BD3B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....,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ngày...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tháng...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năm...</w:t>
            </w:r>
          </w:p>
          <w:p w14:paraId="6D907A1D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TỔNG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GIÁM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ĐỐC</w:t>
            </w:r>
          </w:p>
          <w:p w14:paraId="5AA9AA23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(Ký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tên,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đóng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dấu)</w:t>
            </w:r>
          </w:p>
        </w:tc>
      </w:tr>
    </w:tbl>
    <w:p w14:paraId="69EBB503" w14:textId="77777777" w:rsidR="00120615" w:rsidRPr="00B64858" w:rsidRDefault="00D52212" w:rsidP="00461A3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br w:type="textWrapping" w:clear="all"/>
      </w:r>
    </w:p>
    <w:p w14:paraId="128C2190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24F05340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32B69219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210F8660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6BA2DAAD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61AC1BD4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22B46CF5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7EC4BDC7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5CB18622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2173B685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6F2DE2EE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4E67C3C3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7DCE010E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630B6188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46A98A87" w14:textId="77777777" w:rsidR="00461A35" w:rsidRPr="00B64858" w:rsidRDefault="00461A35" w:rsidP="0012061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71343B00" w14:textId="77777777" w:rsidR="00D52212" w:rsidRPr="00B64858" w:rsidRDefault="00D52212" w:rsidP="0012061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lastRenderedPageBreak/>
        <w:t>Mẫ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02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9382"/>
      </w:tblGrid>
      <w:tr w:rsidR="00D52212" w:rsidRPr="00B64858" w14:paraId="66219A42" w14:textId="77777777" w:rsidTr="00120615">
        <w:trPr>
          <w:trHeight w:val="580"/>
        </w:trPr>
        <w:tc>
          <w:tcPr>
            <w:tcW w:w="3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66A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</w:p>
          <w:p w14:paraId="52173E6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vertAlign w:val="superscript"/>
              </w:rPr>
              <w:t>________</w:t>
            </w:r>
          </w:p>
        </w:tc>
        <w:tc>
          <w:tcPr>
            <w:tcW w:w="9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F91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</w:tbl>
    <w:p w14:paraId="3227D62E" w14:textId="77777777" w:rsidR="00D52212" w:rsidRPr="00B64858" w:rsidRDefault="00461A35" w:rsidP="00D52212">
      <w:pPr>
        <w:spacing w:after="0" w:line="240" w:lineRule="auto"/>
        <w:ind w:firstLine="12820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</w:p>
    <w:p w14:paraId="3D507462" w14:textId="77777777" w:rsidR="00D52212" w:rsidRPr="00B64858" w:rsidRDefault="00461A35" w:rsidP="00D52212">
      <w:pPr>
        <w:spacing w:after="0" w:line="240" w:lineRule="auto"/>
        <w:ind w:firstLine="12820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</w:p>
    <w:p w14:paraId="528DACFD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TÌNH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HÌNH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TH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Ự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HIỆN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</w:t>
      </w:r>
      <w:r w:rsidR="0012061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ĐỐI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VỚI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HÀNG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br/>
        <w:t>Quý.............................................................................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</w:p>
    <w:p w14:paraId="20325A80" w14:textId="77777777" w:rsidR="00D52212" w:rsidRPr="00B64858" w:rsidRDefault="00D52212" w:rsidP="00D5221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vị: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đồng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1858"/>
        <w:gridCol w:w="1348"/>
        <w:gridCol w:w="1042"/>
        <w:gridCol w:w="1056"/>
        <w:gridCol w:w="1259"/>
        <w:gridCol w:w="1758"/>
        <w:gridCol w:w="1663"/>
        <w:gridCol w:w="2088"/>
      </w:tblGrid>
      <w:tr w:rsidR="00D52212" w:rsidRPr="00B64858" w14:paraId="085DCFDC" w14:textId="77777777" w:rsidTr="00120615">
        <w:trPr>
          <w:trHeight w:val="763"/>
          <w:jc w:val="center"/>
        </w:trPr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C6AC4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STT</w:t>
            </w:r>
          </w:p>
        </w:tc>
        <w:tc>
          <w:tcPr>
            <w:tcW w:w="20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CB0597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(theo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địa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bàn)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A252B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Dư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đầu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quý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4CF12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Doanh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phát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sinh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quý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CD475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Dư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cuối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quý</w:t>
            </w:r>
          </w:p>
        </w:tc>
        <w:tc>
          <w:tcPr>
            <w:tcW w:w="20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37392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NHTM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quý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97CDB4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="0012061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</w:t>
            </w:r>
            <w:r w:rsidR="0012061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ề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</w:p>
          <w:p w14:paraId="76BB51FF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hồi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phải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giảm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quý</w:t>
            </w:r>
          </w:p>
        </w:tc>
        <w:tc>
          <w:tcPr>
            <w:tcW w:w="23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459B2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đề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trước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quý</w:t>
            </w:r>
          </w:p>
        </w:tc>
      </w:tr>
      <w:tr w:rsidR="00D52212" w:rsidRPr="00B64858" w14:paraId="19C286A1" w14:textId="77777777" w:rsidTr="00D52212">
        <w:trPr>
          <w:trHeight w:val="80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FBD03D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70792C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E54B9F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930D4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vay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70E93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B05C1F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CAC305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A83B4F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F80AC8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120615" w:rsidRPr="00B64858" w14:paraId="28CD4FA2" w14:textId="77777777" w:rsidTr="00D52212">
        <w:trPr>
          <w:trHeight w:val="313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B39E9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(1)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D7C10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(2)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13F50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(3)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3AC6AE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(4)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8D294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(5)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A7680F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(6)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3D245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(7)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A9184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(8)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D15CFAF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(9)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=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85%x[(7)-(8)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]</w:t>
            </w:r>
          </w:p>
        </w:tc>
      </w:tr>
      <w:tr w:rsidR="00120615" w:rsidRPr="00B64858" w14:paraId="33361A8D" w14:textId="77777777" w:rsidTr="00D52212">
        <w:trPr>
          <w:trHeight w:val="450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74B24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E7F8A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TP.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Nội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3AF49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C6EBA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4A39A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91D3E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7ABC2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90F45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FA951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35100C92" w14:textId="77777777" w:rsidTr="00D52212">
        <w:trPr>
          <w:trHeight w:val="446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DA5577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1.1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19F5B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A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F4DDE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F2A28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517E7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6E67C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8F825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8785D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2755B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4B9849EC" w14:textId="77777777" w:rsidTr="00D52212">
        <w:trPr>
          <w:trHeight w:val="454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BF14A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1.2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874B4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6037D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4A0FE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51465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03883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8C6F8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9F82E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6ECC1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7999E841" w14:textId="77777777" w:rsidTr="00D52212">
        <w:trPr>
          <w:trHeight w:val="446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C58CC1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9A2A4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55C2A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199C7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938D1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9896B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DB599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07F1D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D6C03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15650294" w14:textId="77777777" w:rsidTr="00D52212">
        <w:trPr>
          <w:trHeight w:val="454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0700EC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F4E52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TP.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Hồ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Chí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Minh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07EDB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37A2E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7169D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F507A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32BF1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D9F57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AB298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7865D147" w14:textId="77777777" w:rsidTr="00D52212">
        <w:trPr>
          <w:trHeight w:val="457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2095C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2.1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1E94A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39048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6FD50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4BA2C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B0086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3F310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48E30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3AB60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1918ABD8" w14:textId="77777777" w:rsidTr="00D52212">
        <w:trPr>
          <w:trHeight w:val="450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51A8D7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2.2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B23E6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10374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266EE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7A276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477CA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86F14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E246D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C4AC7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30A05B97" w14:textId="77777777" w:rsidTr="00D52212">
        <w:trPr>
          <w:trHeight w:val="457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2853EC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C74DA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FB2AA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A035D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3E459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01369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98B65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98265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02847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67F2E390" w14:textId="77777777" w:rsidTr="00D52212">
        <w:trPr>
          <w:trHeight w:val="446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E6769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3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60445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Tỉnh..........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29998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F3185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FACFE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0781A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05B35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BD077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D510D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4B46F0DA" w14:textId="77777777" w:rsidTr="00D52212">
        <w:trPr>
          <w:trHeight w:val="450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10E9A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3.1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E0531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E0151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95B94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F1627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5B0CE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0AD10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030FE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85061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399A6A75" w14:textId="77777777" w:rsidTr="00D52212">
        <w:trPr>
          <w:trHeight w:val="443"/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92AEE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4C368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D56AE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731C2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0BBDC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7CBC1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48595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97D45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B9EBD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472EB21C" w14:textId="77777777" w:rsidTr="00D52212">
        <w:trPr>
          <w:trHeight w:val="475"/>
          <w:jc w:val="center"/>
        </w:trPr>
        <w:tc>
          <w:tcPr>
            <w:tcW w:w="30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3F2D6E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lastRenderedPageBreak/>
              <w:t>Tổng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2C4CC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8AC39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7F3CE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4FF56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85826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E9509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C46A4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</w:tbl>
    <w:p w14:paraId="6573C778" w14:textId="77777777" w:rsidR="00120615" w:rsidRPr="00B64858" w:rsidRDefault="00120615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</w:pPr>
    </w:p>
    <w:p w14:paraId="25B824A1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Ghi</w:t>
      </w:r>
      <w:r w:rsidR="00461A35"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chú:</w:t>
      </w:r>
    </w:p>
    <w:p w14:paraId="24620CC1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(3),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(4),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(5),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(6)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cuối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9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này).</w:t>
      </w:r>
    </w:p>
    <w:p w14:paraId="609020E7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(7)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hồi).</w:t>
      </w:r>
    </w:p>
    <w:p w14:paraId="144B2120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(8)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9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21428EFC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(9)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ổ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số.</w:t>
      </w:r>
    </w:p>
    <w:p w14:paraId="11742288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ợ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nhỏ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thì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ơn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=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Phần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chênh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lệch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giữa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</w:t>
      </w:r>
      <w:r w:rsidR="00082383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u w:color="FF0000"/>
          <w:lang w:val="vi-VN"/>
        </w:rPr>
        <w:t>ươn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nước.</w:t>
      </w:r>
    </w:p>
    <w:p w14:paraId="2F5D6BBD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(ký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tên,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dấu)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excel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(copy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lưu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đĩa,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usb,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email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cấp),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E3FBF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</w:t>
      </w:r>
      <w:r w:rsidR="00DE3FBF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ớ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giữa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bản.</w:t>
      </w:r>
    </w:p>
    <w:p w14:paraId="2DFAEB35" w14:textId="77777777" w:rsidR="00120615" w:rsidRPr="00B64858" w:rsidRDefault="00120615" w:rsidP="00D52212">
      <w:pPr>
        <w:spacing w:after="0" w:line="240" w:lineRule="auto"/>
        <w:ind w:firstLine="58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078"/>
        <w:gridCol w:w="4097"/>
      </w:tblGrid>
      <w:tr w:rsidR="00D52212" w:rsidRPr="00B64858" w14:paraId="5912A8B0" w14:textId="77777777" w:rsidTr="00D52212">
        <w:trPr>
          <w:trHeight w:val="141"/>
        </w:trPr>
        <w:tc>
          <w:tcPr>
            <w:tcW w:w="5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E16E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NGƯỜI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LẬP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BIỂU</w:t>
            </w:r>
          </w:p>
          <w:p w14:paraId="3361CD8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(Ký,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ghi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rõ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họ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tên)</w:t>
            </w:r>
          </w:p>
          <w:p w14:paraId="4A156DB5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E9A2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KIỂM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SOÁT</w:t>
            </w:r>
          </w:p>
          <w:p w14:paraId="380CF5D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(Ký,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ghi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rõ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họ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tên)</w:t>
            </w:r>
          </w:p>
          <w:p w14:paraId="643FA52C" w14:textId="77777777" w:rsidR="00D52212" w:rsidRPr="00B64858" w:rsidRDefault="00461A35" w:rsidP="00D5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7D0C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....,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ngày...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tháng...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năm...</w:t>
            </w:r>
          </w:p>
          <w:p w14:paraId="25BA1D10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TỔNG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GIÁM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ĐỐC</w:t>
            </w:r>
          </w:p>
          <w:p w14:paraId="6FF9B145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(Ký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tên,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đóng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dấu)</w:t>
            </w:r>
          </w:p>
        </w:tc>
      </w:tr>
    </w:tbl>
    <w:p w14:paraId="3BDE5542" w14:textId="77777777" w:rsidR="00D52212" w:rsidRPr="00B64858" w:rsidRDefault="00461A35" w:rsidP="00D52212">
      <w:pPr>
        <w:spacing w:after="0" w:line="240" w:lineRule="auto"/>
        <w:ind w:left="58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5B799F57" w14:textId="77777777" w:rsidR="00D52212" w:rsidRPr="00B64858" w:rsidRDefault="00461A35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63E2A8B1" w14:textId="77777777" w:rsidR="00D52212" w:rsidRPr="00B64858" w:rsidRDefault="00D52212" w:rsidP="00D52212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br w:type="textWrapping" w:clear="all"/>
      </w:r>
    </w:p>
    <w:p w14:paraId="096E7136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6CF9CF19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468AF1E9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5B6F4CFD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57E95B7A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2E6741CB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4A53E6DB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0FCC3ECC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2991C66B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5875B416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368A9931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7E23C789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3DAAD1B3" w14:textId="77777777" w:rsidR="00D52212" w:rsidRPr="00B64858" w:rsidRDefault="00D52212" w:rsidP="00D5221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lastRenderedPageBreak/>
        <w:t>M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ẫu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số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03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8761"/>
      </w:tblGrid>
      <w:tr w:rsidR="00D52212" w:rsidRPr="00B64858" w14:paraId="7D370E1D" w14:textId="77777777" w:rsidTr="00120615">
        <w:trPr>
          <w:trHeight w:val="580"/>
        </w:trPr>
        <w:tc>
          <w:tcPr>
            <w:tcW w:w="4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8E7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</w:p>
          <w:p w14:paraId="50D5BEF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vertAlign w:val="superscript"/>
              </w:rPr>
              <w:t>________</w:t>
            </w:r>
          </w:p>
        </w:tc>
        <w:tc>
          <w:tcPr>
            <w:tcW w:w="8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C62C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</w:tbl>
    <w:p w14:paraId="44255EDA" w14:textId="77777777" w:rsidR="00120615" w:rsidRPr="00B64858" w:rsidRDefault="0012061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68B4B5D2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BẢNG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KÊ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MINH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ƯỢC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U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ẤT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br/>
        <w:t>Quý.................................................................................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</w:p>
    <w:p w14:paraId="77B03751" w14:textId="77777777" w:rsidR="00D52212" w:rsidRPr="00B64858" w:rsidRDefault="00D52212" w:rsidP="00D5221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vị: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ồ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2090"/>
        <w:gridCol w:w="941"/>
        <w:gridCol w:w="1347"/>
        <w:gridCol w:w="1361"/>
        <w:gridCol w:w="1089"/>
        <w:gridCol w:w="1089"/>
        <w:gridCol w:w="1051"/>
        <w:gridCol w:w="1073"/>
        <w:gridCol w:w="2017"/>
      </w:tblGrid>
      <w:tr w:rsidR="00120615" w:rsidRPr="00B64858" w14:paraId="79C01B7B" w14:textId="77777777" w:rsidTr="00120615">
        <w:trPr>
          <w:trHeight w:val="1762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470C32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STT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BB80D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(theo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địa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bàn)/Tên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C0950D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thuế/</w:t>
            </w:r>
          </w:p>
          <w:p w14:paraId="2B22F4C2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ĐKKD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147291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hiệu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khế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ước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nhận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nợ/S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tài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nhận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tiết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hệ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thống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7C1870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Ngày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kh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ế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ước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/Ngày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tài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nhận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tiết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hệ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thống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C272F4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hiệu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chứng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HTLS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C0D48E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Ngày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chứng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HTLS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A7243B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theo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chứng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phát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sinh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quý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259A57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hồi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phải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giảm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quý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9ECA35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đề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trước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quý</w:t>
            </w:r>
          </w:p>
        </w:tc>
      </w:tr>
      <w:tr w:rsidR="00120615" w:rsidRPr="00B64858" w14:paraId="208BF5C3" w14:textId="77777777" w:rsidTr="00120615">
        <w:trPr>
          <w:trHeight w:val="612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EB41C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(1)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47787D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(2)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E61D4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(3)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FE7D7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(4)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20396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(5)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4762A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(6)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A0CE5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(7)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1939A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(8)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C55EC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(9)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D30C4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(10)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=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85%x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[(8)-(9)]</w:t>
            </w:r>
          </w:p>
        </w:tc>
      </w:tr>
      <w:tr w:rsidR="00120615" w:rsidRPr="00B64858" w14:paraId="4DB5C81F" w14:textId="77777777" w:rsidTr="00120615">
        <w:trPr>
          <w:trHeight w:val="338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460031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1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2648876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TP.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Nội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D40CA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F6512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95753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BE32E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B431E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EBE86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3F7DC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C9044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09E285D9" w14:textId="77777777" w:rsidTr="00120615">
        <w:trPr>
          <w:trHeight w:val="338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1CB2D2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1.1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90B7A3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A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E1F36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44AFA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14958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BA3F4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1A66B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E2CE0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07873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DB0F3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1A89EA95" w14:textId="77777777" w:rsidTr="00120615">
        <w:trPr>
          <w:trHeight w:val="1411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358E6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1.1.1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A4E493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thuộc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đối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tượng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quy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tại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ể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a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Điều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E1CF7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E0F00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64462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E446A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77FBA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FE980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1B144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E558B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6BD7CF9A" w14:textId="77777777" w:rsidTr="00120615">
        <w:trPr>
          <w:trHeight w:val="338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F9182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1.1.1.1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1FF7E4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75C55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214AF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45B8D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D0615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33865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B5D73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0DBBA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E6019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23D73822" w14:textId="77777777" w:rsidTr="00120615">
        <w:trPr>
          <w:trHeight w:val="342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44274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EA4A597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...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716BE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45FCF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05C34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2256B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645F3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A5096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65D6F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F547F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3610A0E7" w14:textId="77777777" w:rsidTr="00120615">
        <w:trPr>
          <w:trHeight w:val="338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914300" w14:textId="77777777" w:rsidR="00D52212" w:rsidRPr="00B64858" w:rsidRDefault="00D52212" w:rsidP="00D52212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1.1.1.2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9C417E3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D544D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BEE31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1AD44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4E895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F8083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5F89E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39789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D442B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0A7B75E7" w14:textId="77777777" w:rsidTr="00120615">
        <w:trPr>
          <w:trHeight w:val="349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F994C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CCC453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94629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963A4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469B5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C1775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0C742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D1392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89D14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2F4BC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508B7CD8" w14:textId="77777777" w:rsidTr="00120615">
        <w:trPr>
          <w:trHeight w:val="1408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66D98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br w:type="textWrapping" w:clear="all"/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1.1.2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DB35214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thuộc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đối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tượng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quy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tại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Điều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609AC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1F02D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BCA23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A7BC9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FBF2C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9DC66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D094B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E6E92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0D2AC2C9" w14:textId="77777777" w:rsidTr="00120615">
        <w:trPr>
          <w:trHeight w:val="342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41581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lastRenderedPageBreak/>
              <w:t>1.1.2.1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DD3A3A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X’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0FB50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A0FEC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59D57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5F9F5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705CF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AA53F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639FA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F034E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13B08C8F" w14:textId="77777777" w:rsidTr="00120615">
        <w:trPr>
          <w:trHeight w:val="342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7F615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C591DA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795D3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F90A8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159BD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081C7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38ABC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2344D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13D70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2BE30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557E0019" w14:textId="77777777" w:rsidTr="00120615">
        <w:trPr>
          <w:trHeight w:val="342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0D12B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1.1.2.2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B936B8A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Y’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91798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F1100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01D06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A5389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77E62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C5009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B58BC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C158F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0506458D" w14:textId="77777777" w:rsidTr="00120615">
        <w:trPr>
          <w:trHeight w:val="342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D6A42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649403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8EE5C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1196A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CC4CB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A80B7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CC4E7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EADF3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82B68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A0EF3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7EE9B15E" w14:textId="77777777" w:rsidTr="00120615">
        <w:trPr>
          <w:trHeight w:val="389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A6F35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D1FE2A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TP.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Hồ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Chí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Minh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10558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AD950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39F7F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EBA0B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8082D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28321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16A13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33239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5DB686B3" w14:textId="77777777" w:rsidTr="00120615">
        <w:trPr>
          <w:trHeight w:val="385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6466EF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2.1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1BE867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X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AF75C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45721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3785D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15A77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C6B33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D6DC6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D1A8C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44492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6A09E452" w14:textId="77777777" w:rsidTr="00120615">
        <w:trPr>
          <w:trHeight w:val="1386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5A69B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2.1.1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95EEB7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thuộc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đối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tượng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quy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tại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a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Điều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F3B18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EE7A1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CE632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BE9BD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6C9A2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62ECB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1EF4F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A8066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29968282" w14:textId="77777777" w:rsidTr="00120615">
        <w:trPr>
          <w:trHeight w:val="342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8890E4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2.1.1.1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F4C61A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60C24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0976F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26519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145EC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85B59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952B6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AE6FC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02CD9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28C6EA1C" w14:textId="77777777" w:rsidTr="00120615">
        <w:trPr>
          <w:trHeight w:val="342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198EE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8C911C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A79A7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DCAE8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2043F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DD1DA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C8246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286F5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44F94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1B34D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724BC6D0" w14:textId="77777777" w:rsidTr="00120615">
        <w:trPr>
          <w:trHeight w:val="338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0FEB0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2.1.1.2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B7F728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91995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B56AD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D07CB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4D64A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1C25C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E2108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A188B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0808E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672B021B" w14:textId="77777777" w:rsidTr="00120615">
        <w:trPr>
          <w:trHeight w:val="346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16FB7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BAFA32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1D3FC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25B48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8C629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AED46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17714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62507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B4E52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C8DF4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1328173D" w14:textId="77777777" w:rsidTr="00120615">
        <w:trPr>
          <w:trHeight w:val="1368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FCB90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2.1.2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53E923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thuộc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đối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tượng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quy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tại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Điều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23AD3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B91E7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D20B3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04932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8ECB2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15BFD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6E607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76C31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684DFED7" w14:textId="77777777" w:rsidTr="00120615">
        <w:trPr>
          <w:trHeight w:val="342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1041A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2.1.2.1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B24F05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X’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8E5FF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05396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785C7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7F391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BDD94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4491C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98EF6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25558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015D7BFC" w14:textId="77777777" w:rsidTr="00120615">
        <w:trPr>
          <w:trHeight w:val="342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367B2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C1FB3CE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41AC7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8342A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9FE0B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7BEE1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69077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508C1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1C289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4E5D4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7AE93B52" w14:textId="77777777" w:rsidTr="00120615">
        <w:trPr>
          <w:trHeight w:val="338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A6A2A7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2.1.2.2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EB1E39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Y’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F348C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3AB1A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BD836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678B7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5E4E2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E882D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F10C3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6E48B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2BBE1F71" w14:textId="77777777" w:rsidTr="00120615">
        <w:trPr>
          <w:trHeight w:val="338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95AFA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97F6A42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1C5DB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43F2F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CDFF5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C9C39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612BA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D3AD0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A1FB2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2DBD2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3C60B969" w14:textId="77777777" w:rsidTr="00120615">
        <w:trPr>
          <w:trHeight w:val="338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C8F43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34DA45E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A7817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1D96F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35E73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F4D0A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F540B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C00F6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1BF6B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D41CC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2823F7E1" w14:textId="77777777" w:rsidTr="00120615">
        <w:trPr>
          <w:trHeight w:val="644"/>
          <w:jc w:val="center"/>
        </w:trPr>
        <w:tc>
          <w:tcPr>
            <w:tcW w:w="2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B5D70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Tổng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số</w:t>
            </w:r>
          </w:p>
          <w:p w14:paraId="0C07C267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B9912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01832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11DCD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52043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7973C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5C389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F3135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3952A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</w:tbl>
    <w:p w14:paraId="06E9434A" w14:textId="77777777" w:rsidR="00D52212" w:rsidRPr="00B64858" w:rsidRDefault="00461A35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3DC72B79" w14:textId="77777777" w:rsidR="00D52212" w:rsidRPr="00B64858" w:rsidRDefault="00461A35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lastRenderedPageBreak/>
        <w:t xml:space="preserve"> </w:t>
      </w:r>
      <w:r w:rsidR="00D52212"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Gh</w:t>
      </w:r>
      <w:r w:rsidR="00120615"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</w:rPr>
        <w:t>i</w:t>
      </w: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chú:</w:t>
      </w:r>
    </w:p>
    <w:p w14:paraId="1CDBA6A3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(8)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hồi).</w:t>
      </w:r>
    </w:p>
    <w:p w14:paraId="31948159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(9)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(gồm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</w:t>
      </w:r>
      <w:r w:rsidR="0012061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ươ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9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29330DC6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(10)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số.</w:t>
      </w:r>
    </w:p>
    <w:p w14:paraId="26A421A0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Trường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nhỏ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thì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=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Phần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chênh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lệch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giữa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tiếp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hoàn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nước.</w:t>
      </w:r>
    </w:p>
    <w:p w14:paraId="01AAAF8D" w14:textId="77777777" w:rsidR="00D52212" w:rsidRPr="00B64858" w:rsidRDefault="00D52212" w:rsidP="0012061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(ký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tên,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dấu)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excel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(copy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lưu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đĩa,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usb,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email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cấp),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khớp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giữa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078"/>
        <w:gridCol w:w="4097"/>
      </w:tblGrid>
      <w:tr w:rsidR="00D52212" w:rsidRPr="00B64858" w14:paraId="2B23DD7F" w14:textId="77777777" w:rsidTr="00D52212">
        <w:trPr>
          <w:trHeight w:val="141"/>
        </w:trPr>
        <w:tc>
          <w:tcPr>
            <w:tcW w:w="5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5F1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NGƯỜI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LẬP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BIỂU</w:t>
            </w:r>
          </w:p>
          <w:p w14:paraId="5DD57E9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(Ký,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ghi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rõ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họ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tên)</w:t>
            </w:r>
          </w:p>
          <w:p w14:paraId="6265A4FB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2F0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KIỂM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SOÁT</w:t>
            </w:r>
          </w:p>
          <w:p w14:paraId="275558A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(Ký,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ghi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rõ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họ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tên)</w:t>
            </w:r>
          </w:p>
          <w:p w14:paraId="10369812" w14:textId="77777777" w:rsidR="00D52212" w:rsidRPr="00B64858" w:rsidRDefault="00461A35" w:rsidP="00D5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B41F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....,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ngày...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tháng...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năm...</w:t>
            </w:r>
          </w:p>
          <w:p w14:paraId="2D2ECAFA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TỔNG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GIÁM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ĐỐC</w:t>
            </w:r>
          </w:p>
          <w:p w14:paraId="772D97C2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(Ký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tên,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đóng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dấu)</w:t>
            </w:r>
          </w:p>
        </w:tc>
      </w:tr>
    </w:tbl>
    <w:p w14:paraId="19F519E5" w14:textId="77777777" w:rsidR="00D52212" w:rsidRPr="00B64858" w:rsidRDefault="00461A35" w:rsidP="00D52212">
      <w:pPr>
        <w:spacing w:after="0" w:line="240" w:lineRule="auto"/>
        <w:ind w:left="60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6AEF27FA" w14:textId="77777777" w:rsidR="00D52212" w:rsidRPr="00B64858" w:rsidRDefault="00D52212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br w:type="textWrapping" w:clear="all"/>
      </w:r>
    </w:p>
    <w:p w14:paraId="73DD8E17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15A0F454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5ACA0A9D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1406098C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46A8F189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5A46FF04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70B22C05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7E4FA769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50D6610D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4B561DF1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41C787CF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1EB1E133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29192291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444FE1A1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478FA5DE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6CDB2151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2D9A214E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0CFC7100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4B87C14D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320F7892" w14:textId="77777777" w:rsidR="00D52212" w:rsidRPr="00B64858" w:rsidRDefault="00D52212" w:rsidP="00D5221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lastRenderedPageBreak/>
        <w:t>Mẫu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số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4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2"/>
        <w:gridCol w:w="8790"/>
      </w:tblGrid>
      <w:tr w:rsidR="00D52212" w:rsidRPr="00B64858" w14:paraId="64B39DEB" w14:textId="77777777" w:rsidTr="00461A35">
        <w:trPr>
          <w:trHeight w:val="598"/>
        </w:trPr>
        <w:tc>
          <w:tcPr>
            <w:tcW w:w="4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14B7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</w:p>
          <w:p w14:paraId="5F08C03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vertAlign w:val="superscript"/>
              </w:rPr>
              <w:t>________</w:t>
            </w:r>
          </w:p>
        </w:tc>
        <w:tc>
          <w:tcPr>
            <w:tcW w:w="88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2C95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</w:tbl>
    <w:p w14:paraId="59BE35EF" w14:textId="77777777" w:rsidR="00D52212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</w:p>
    <w:p w14:paraId="7127EB70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Ố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Ề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Ổ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QUY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Ế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br/>
        <w:t>Năm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2022/Năm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2023</w:t>
      </w:r>
    </w:p>
    <w:p w14:paraId="23800AD2" w14:textId="77777777" w:rsidR="00D52212" w:rsidRPr="00B64858" w:rsidRDefault="00D52212" w:rsidP="0012061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vị: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đồng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1681"/>
        <w:gridCol w:w="997"/>
        <w:gridCol w:w="984"/>
        <w:gridCol w:w="1084"/>
        <w:gridCol w:w="1178"/>
        <w:gridCol w:w="1386"/>
        <w:gridCol w:w="1565"/>
        <w:gridCol w:w="1510"/>
        <w:gridCol w:w="1783"/>
      </w:tblGrid>
      <w:tr w:rsidR="00D52212" w:rsidRPr="00B64858" w14:paraId="1EA0F779" w14:textId="77777777" w:rsidTr="00120615">
        <w:trPr>
          <w:trHeight w:val="626"/>
          <w:jc w:val="center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2BD9C2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STT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4D952E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(theo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địa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bàn)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60FE46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Dư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đầu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23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0797DF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Doanh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phát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sinh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5A3B0D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Dư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cuối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983113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NHTM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9F6716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hồi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phải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giảm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42B83F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được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trước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A3091A" w14:textId="77777777" w:rsidR="00D52212" w:rsidRPr="00B64858" w:rsidRDefault="00D52212" w:rsidP="00120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còn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lại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đề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toán/hoặc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giảm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tiếp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theo/hoặc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hoàn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NSNN</w:t>
            </w:r>
          </w:p>
        </w:tc>
      </w:tr>
      <w:tr w:rsidR="00D52212" w:rsidRPr="00B64858" w14:paraId="4B7181EE" w14:textId="77777777" w:rsidTr="00120615">
        <w:trPr>
          <w:trHeight w:val="106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42AC4F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D913E3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DCC659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B2513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vay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E1D79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1868F7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7FA38C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B20734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CB2B76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4F11FA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120615" w:rsidRPr="00B64858" w14:paraId="6FE2D726" w14:textId="77777777" w:rsidTr="00D52212">
        <w:trPr>
          <w:trHeight w:val="396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9266B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7A8F5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(2)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3D9937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(3)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FAD8C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(4)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5B2BF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(5)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AB3D07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(6)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F50742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(7)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85456D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(8)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C53C1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(9)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C9F21DD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(10)=(7)-(8)-(9)</w:t>
            </w:r>
          </w:p>
        </w:tc>
      </w:tr>
      <w:tr w:rsidR="00120615" w:rsidRPr="00B64858" w14:paraId="2625438E" w14:textId="77777777" w:rsidTr="00D52212">
        <w:trPr>
          <w:trHeight w:val="425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64D20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DA2EE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TP.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Nội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4573F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7D7DF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55C33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2F239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7464E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504CC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9E847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4C09E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669D1772" w14:textId="77777777" w:rsidTr="00D52212">
        <w:trPr>
          <w:trHeight w:val="432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9D677D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981C7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A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8A182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CDEFF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7C392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A9D6F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A8084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51BFF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3E477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4866D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505C1DDA" w14:textId="77777777" w:rsidTr="00D52212">
        <w:trPr>
          <w:trHeight w:val="428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399611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2F29D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64FF9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AD04B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9AAC4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D125A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9E07B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9A596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65D76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049F3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0A1DE247" w14:textId="77777777" w:rsidTr="00D52212">
        <w:trPr>
          <w:trHeight w:val="432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F2021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....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48358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39726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E6997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9AE92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EEBB4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94862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EACEA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06794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67F48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62C6DB0C" w14:textId="77777777" w:rsidTr="00D52212">
        <w:trPr>
          <w:trHeight w:val="432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7E667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2E485D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TP.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Hồ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Chí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Minh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9ADCC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153CB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C865E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F9DB6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63F19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38E80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2A463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D44E2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4B5B8221" w14:textId="77777777" w:rsidTr="00D52212">
        <w:trPr>
          <w:trHeight w:val="432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CE53F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79220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1BF9F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51F7F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A17F4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9D103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83636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89F97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34B5F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353C6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1E5A75E2" w14:textId="77777777" w:rsidTr="00D52212">
        <w:trPr>
          <w:trHeight w:val="436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9BFAB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2.2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EEFAD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196C8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649AB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90DA2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0E5C1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F0C31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791B2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1474A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CCD6D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659656FE" w14:textId="77777777" w:rsidTr="00D52212">
        <w:trPr>
          <w:trHeight w:val="425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69240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984B4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8DC79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2F37B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7A0A8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F1BD3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F4FCB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8ECE1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85469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F2AAF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153B3221" w14:textId="77777777" w:rsidTr="00D52212">
        <w:trPr>
          <w:trHeight w:val="428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94391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3.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6034D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Tỉnh..........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D859D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FACA3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2BB22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5DB79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59E62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DEC05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853AC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2C72C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575A13D1" w14:textId="77777777" w:rsidTr="00D52212">
        <w:trPr>
          <w:trHeight w:val="425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FED19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3.1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BA564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...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8CE13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AA069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CC1E2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AEBB8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5DFF3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13D50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DFC89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1FA71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0CC3FAC7" w14:textId="77777777" w:rsidTr="00D52212">
        <w:trPr>
          <w:trHeight w:val="425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B7196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578F5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23CD0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7D9B7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C25C8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65872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FDEB2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3251A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72D5B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7CF4B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248B1DBA" w14:textId="77777777" w:rsidTr="00D52212">
        <w:trPr>
          <w:trHeight w:val="457"/>
          <w:jc w:val="center"/>
        </w:trPr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785AE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Tổng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số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44ACC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A646F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FD02F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678F0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E6DC7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A430F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F78A6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85C2B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</w:tbl>
    <w:p w14:paraId="0800341A" w14:textId="77777777" w:rsidR="00120615" w:rsidRPr="00B64858" w:rsidRDefault="00120615" w:rsidP="00D52212">
      <w:pPr>
        <w:spacing w:after="0" w:line="240" w:lineRule="auto"/>
        <w:ind w:firstLine="580"/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</w:pPr>
    </w:p>
    <w:p w14:paraId="0ADB8085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Ghi</w:t>
      </w:r>
      <w:r w:rsidR="00461A35"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ch</w:t>
      </w: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</w:rPr>
        <w:t>ú</w:t>
      </w: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:</w:t>
      </w:r>
    </w:p>
    <w:p w14:paraId="21DE3533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(3),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(4),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(5),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(6)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cuối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(không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vay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1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9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này).</w:t>
      </w:r>
    </w:p>
    <w:p w14:paraId="64ABB8EC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(7)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ồ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i).</w:t>
      </w:r>
    </w:p>
    <w:p w14:paraId="2AE215F2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(8)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ấ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ầ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ế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9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3E70A115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(9)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</w:t>
      </w:r>
      <w:r w:rsidR="0012061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9)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12061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12061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12061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12061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12061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12061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12061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ổ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.</w:t>
      </w:r>
    </w:p>
    <w:p w14:paraId="01E07701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(10)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ổ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số.</w:t>
      </w:r>
    </w:p>
    <w:p w14:paraId="1B4202B5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(ký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tên,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dấu)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excel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(copy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lưu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đĩa,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usb,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email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cấp),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khớp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giữa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bản.</w:t>
      </w:r>
    </w:p>
    <w:p w14:paraId="4E6EAD13" w14:textId="77777777" w:rsidR="00120615" w:rsidRPr="00B64858" w:rsidRDefault="00120615" w:rsidP="00120615">
      <w:pPr>
        <w:spacing w:after="0" w:line="240" w:lineRule="auto"/>
        <w:ind w:firstLine="576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078"/>
        <w:gridCol w:w="4097"/>
      </w:tblGrid>
      <w:tr w:rsidR="00D52212" w:rsidRPr="00B64858" w14:paraId="14E7329A" w14:textId="77777777" w:rsidTr="00D52212">
        <w:trPr>
          <w:trHeight w:val="141"/>
        </w:trPr>
        <w:tc>
          <w:tcPr>
            <w:tcW w:w="54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2A22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NGƯỜI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LẬP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BIỂU</w:t>
            </w:r>
          </w:p>
          <w:p w14:paraId="2543430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(Ký,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ghi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rõ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họ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tên)</w:t>
            </w:r>
          </w:p>
          <w:p w14:paraId="206F385D" w14:textId="77777777" w:rsidR="00D52212" w:rsidRPr="00B64858" w:rsidRDefault="00461A35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212F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KIỂM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SOÁT</w:t>
            </w:r>
          </w:p>
          <w:p w14:paraId="472D622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(Ký,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ghi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rõ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họ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tên)</w:t>
            </w:r>
          </w:p>
          <w:p w14:paraId="331B00EE" w14:textId="77777777" w:rsidR="00D52212" w:rsidRPr="00B64858" w:rsidRDefault="00461A35" w:rsidP="00D5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F7BF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....,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ngày...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tháng...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  <w:lang w:val="vi-VN"/>
              </w:rPr>
              <w:t>năm...</w:t>
            </w:r>
          </w:p>
          <w:p w14:paraId="3D443E00" w14:textId="77777777" w:rsidR="00D52212" w:rsidRPr="00B64858" w:rsidRDefault="00D52212" w:rsidP="00D522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TỔNG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GIÁM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ĐỐC</w:t>
            </w:r>
          </w:p>
          <w:p w14:paraId="7E0B5C7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(Ký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tên,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đóng</w:t>
            </w:r>
            <w:r w:rsidR="00461A35"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highlight w:val="white"/>
              </w:rPr>
              <w:t>dấu)</w:t>
            </w:r>
          </w:p>
        </w:tc>
      </w:tr>
    </w:tbl>
    <w:p w14:paraId="048CEAAE" w14:textId="77777777" w:rsidR="00D52212" w:rsidRPr="00B64858" w:rsidRDefault="00461A35" w:rsidP="00D52212">
      <w:pPr>
        <w:spacing w:after="0" w:line="240" w:lineRule="auto"/>
        <w:ind w:left="580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2D13D98C" w14:textId="77777777" w:rsidR="00D52212" w:rsidRPr="00B64858" w:rsidRDefault="00D52212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br w:type="textWrapping" w:clear="all"/>
      </w:r>
    </w:p>
    <w:p w14:paraId="6D8D9C82" w14:textId="77777777" w:rsidR="0012061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6CBA2075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</w:pPr>
    </w:p>
    <w:p w14:paraId="3B7C24D0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249D003A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361E818B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4B5C8E7B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38D2EE7C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0F13D0CF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063E4CCD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1F14FF69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039715B2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56280A21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5919843B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42F2A905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724AF9A2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4157AD5E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5BA2D02E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</w:p>
    <w:p w14:paraId="1019572C" w14:textId="77777777" w:rsidR="00D52212" w:rsidRPr="00B64858" w:rsidRDefault="00D52212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lastRenderedPageBreak/>
        <w:t>Mẫu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số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5</w:t>
      </w:r>
    </w:p>
    <w:p w14:paraId="3731DA06" w14:textId="77777777" w:rsidR="00120615" w:rsidRPr="00B64858" w:rsidRDefault="00120615" w:rsidP="00D5221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2"/>
        <w:gridCol w:w="8120"/>
      </w:tblGrid>
      <w:tr w:rsidR="00D52212" w:rsidRPr="00B64858" w14:paraId="113F47C9" w14:textId="77777777" w:rsidTr="00120615">
        <w:trPr>
          <w:trHeight w:val="738"/>
        </w:trPr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5E40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</w:p>
          <w:p w14:paraId="4188F3A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vertAlign w:val="superscript"/>
              </w:rPr>
              <w:t>________</w:t>
            </w:r>
          </w:p>
        </w:tc>
        <w:tc>
          <w:tcPr>
            <w:tcW w:w="8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EA3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</w:tbl>
    <w:p w14:paraId="43B195C7" w14:textId="77777777" w:rsidR="00D52212" w:rsidRPr="00B64858" w:rsidRDefault="00461A35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0ECBD022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BẢNG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KÊ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CHỨNG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Ừ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MINH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KHÁCH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ƯỢC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br/>
        <w:t>Năm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2022/Năm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2023</w:t>
      </w:r>
    </w:p>
    <w:p w14:paraId="3BFC5DDA" w14:textId="77777777" w:rsidR="00D52212" w:rsidRPr="00B64858" w:rsidRDefault="00461A35" w:rsidP="001F63E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Đơn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vị: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="00D52212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đồng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99"/>
        <w:gridCol w:w="1678"/>
        <w:gridCol w:w="90"/>
        <w:gridCol w:w="510"/>
        <w:gridCol w:w="1053"/>
        <w:gridCol w:w="1138"/>
        <w:gridCol w:w="908"/>
        <w:gridCol w:w="788"/>
        <w:gridCol w:w="1051"/>
        <w:gridCol w:w="1152"/>
        <w:gridCol w:w="1754"/>
        <w:gridCol w:w="1885"/>
      </w:tblGrid>
      <w:tr w:rsidR="00D52212" w:rsidRPr="00B64858" w14:paraId="46D86F44" w14:textId="77777777" w:rsidTr="00461A35">
        <w:trPr>
          <w:trHeight w:val="1913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A9423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STT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5D556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(theo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địa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bàn)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/Tên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A11C3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thuế/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ĐKKD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C449B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hiệu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  <w:p w14:paraId="1A4DB6B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ế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  <w:p w14:paraId="3268841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ước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nhận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/Số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tài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nhận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tiết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hệ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thống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15EB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Ngày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khế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ước/Ngày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tài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nhận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tiết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hệ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thống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BBA14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hiệu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chứng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279C2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Ngày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chứng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9F53B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theo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chứng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phát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sinh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5ABC5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ồ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phải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giảm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F825E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đư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ợ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trước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D3EA8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còn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lại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đề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/hoặc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giảm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tiếp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theo/hoặc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hoàn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NSNN</w:t>
            </w:r>
          </w:p>
        </w:tc>
      </w:tr>
      <w:tr w:rsidR="00D52212" w:rsidRPr="00B64858" w14:paraId="43558957" w14:textId="77777777" w:rsidTr="00461A35">
        <w:trPr>
          <w:trHeight w:val="608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316F3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(1)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84D0A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(2)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453C5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(3)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2956E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(4)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F7F90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(5)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19F10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(6)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3FEE0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(7)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9AAE7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(8)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24397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(9)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BC639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(10)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4572E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(11)=(8)-(9)-(10)</w:t>
            </w:r>
          </w:p>
        </w:tc>
      </w:tr>
      <w:tr w:rsidR="00D52212" w:rsidRPr="00B64858" w14:paraId="7D1855C4" w14:textId="77777777" w:rsidTr="00461A35">
        <w:trPr>
          <w:trHeight w:val="473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82B9C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1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1CF137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TP.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Nội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5E852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25F4A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28080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C7FDE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657F0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C835F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CC3F6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A9C65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29A7D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40EF102E" w14:textId="77777777" w:rsidTr="00461A35">
        <w:trPr>
          <w:trHeight w:val="338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9F33D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1.1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93BD41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A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D048C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84857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00B5D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4BE46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84FB5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ABD30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CAE4C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B81D5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4A1AB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06F72D20" w14:textId="77777777" w:rsidTr="00461A35">
        <w:trPr>
          <w:trHeight w:val="1404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4C95A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1.1.1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169C9C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thuộc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đối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tượng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quy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tại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a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Điều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82DE3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92EF9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FF56D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B44DA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13D2C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896D8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3C2AD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45312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7ABED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08927129" w14:textId="77777777" w:rsidTr="00461A35">
        <w:trPr>
          <w:trHeight w:val="342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38ADCE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1.1.1.1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4926D8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63E44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39D11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17098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D5D71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A94CA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EF289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F60FD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CA67C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FCDC0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1FBB21B0" w14:textId="77777777" w:rsidTr="00461A35">
        <w:trPr>
          <w:trHeight w:val="342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0BD93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2999422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...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D4C52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9D2D9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EB807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ACBB1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93058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46E1A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4BC1E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5B570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2738C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6B8BD503" w14:textId="77777777" w:rsidTr="00461A35">
        <w:trPr>
          <w:trHeight w:val="338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908114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1.1.1.2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58D02A0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AAA8C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1A202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51538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FE8BE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4A14A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072EB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974F4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CA721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871DB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07BB6605" w14:textId="77777777" w:rsidTr="00461A35">
        <w:trPr>
          <w:trHeight w:val="356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77C4A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BF4E1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23E76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72325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02031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3DF1E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77307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8B52E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F8EDC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C7583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901D2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33F3A3A0" w14:textId="77777777" w:rsidTr="00461A35">
        <w:trPr>
          <w:trHeight w:val="1404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45832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lastRenderedPageBreak/>
              <w:t>1.1.2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C5C8AF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thuộc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đối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tượng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quy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tại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Điều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B0C70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D02F4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B2D1E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2B17E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3FFCE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D65F3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10BD3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38C6B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2B65F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7B8E5A21" w14:textId="77777777" w:rsidTr="00461A35">
        <w:trPr>
          <w:trHeight w:val="338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D9045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1.1.2.1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48982C9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X’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6B1D6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54D89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059AE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137FE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1EBCC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3CDB7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BB138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EA0D7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12A69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249EE86B" w14:textId="77777777" w:rsidTr="00461A35">
        <w:trPr>
          <w:trHeight w:val="342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248B5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01687C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12308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DC1F2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A3136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2C04C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C0F0B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E021F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84715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FC608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0F2F8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3207DA01" w14:textId="77777777" w:rsidTr="00461A35">
        <w:trPr>
          <w:trHeight w:val="346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47284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1.1.2.2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E25DED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Y’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3A376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6CFA6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CF4F6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262AA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3E91B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6A20C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777A2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97307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2B4BC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10B1CD57" w14:textId="77777777" w:rsidTr="00461A35">
        <w:trPr>
          <w:trHeight w:val="338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432CB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17F002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5F29C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D1D7A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4C371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EADB4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EA1B4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25B51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A0C03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FBEDA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D9056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0056CD9E" w14:textId="77777777" w:rsidTr="00461A35">
        <w:trPr>
          <w:trHeight w:val="392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1F329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E37B62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TP.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Hồ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Chí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Minh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01138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55F87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2A5E7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7829D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EA190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CF58B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8C662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3722F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44ED7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18C6B621" w14:textId="77777777" w:rsidTr="00461A35">
        <w:trPr>
          <w:trHeight w:val="389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D1AE2A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2.1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7588EB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X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12715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930BD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3B27C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70E45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F5A80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3C62D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A7EE4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6DDBE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9A4E9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07B34E4E" w14:textId="77777777" w:rsidTr="00461A35">
        <w:trPr>
          <w:trHeight w:val="1386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45C26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2.1.1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403FB8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thuộc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đối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tượng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quy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tại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a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</w:p>
          <w:p w14:paraId="18D915D7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Điều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27A21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82083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80E1A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5E3AD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04C65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38D45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36C8F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C7E6B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EB15E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1CB56A77" w14:textId="77777777" w:rsidTr="00461A35">
        <w:trPr>
          <w:trHeight w:val="342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CFB99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2.1.1.1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0F92A0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78C38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F16C0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CB2B6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4CF1D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E6ED1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2294B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AF6ED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3C29D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1CE62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50B1A625" w14:textId="77777777" w:rsidTr="00461A35">
        <w:trPr>
          <w:trHeight w:val="342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C20EF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C56C0F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.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CF29D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84949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443D6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F4007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C1C41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8CACC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CD22E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C03B1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A7353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704E66C7" w14:textId="77777777" w:rsidTr="00461A35">
        <w:trPr>
          <w:trHeight w:val="335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3FBC7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2.1.1.2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A2F32ED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C158F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7E84F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BF1ED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0FF42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165D4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052FD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09ADD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5EDD4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5CEF2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41884A82" w14:textId="77777777" w:rsidTr="00461A35">
        <w:trPr>
          <w:trHeight w:val="346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C9DD6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405F42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...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935DD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82D1B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B3916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DDD9E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FE848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2F460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9E2E5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63C6F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D5075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15BB2E4E" w14:textId="77777777" w:rsidTr="00461A35">
        <w:trPr>
          <w:trHeight w:val="1217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9F414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2.1.2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C975E44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thuộc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đối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tượng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quy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tại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điểm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khoản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</w:p>
          <w:p w14:paraId="26080FA7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Điều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4D2EF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0EB30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F63D4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9A8A3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B43DC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B2321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38647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71ECA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8FFBC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716BA1B8" w14:textId="77777777" w:rsidTr="00461A35">
        <w:trPr>
          <w:trHeight w:val="349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8EC297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2.1.2.1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FFD735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X’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EFD45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B1B70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C7E5A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C13A0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DB6DD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11A86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761BF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1C5E9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65FB6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7AAC35D9" w14:textId="77777777" w:rsidTr="00461A35">
        <w:trPr>
          <w:trHeight w:val="338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280C3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069D4A1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0EE9E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2EF17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F354A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044BE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E0118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0DBF5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71344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EF8E4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32888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32F09C5B" w14:textId="77777777" w:rsidTr="00461A35">
        <w:trPr>
          <w:trHeight w:val="342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B9AB66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2.1.2.2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53541F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Khách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Y’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CEFB8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947B2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46675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F6F6A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6054A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9C868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E1A63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B13B4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3CFE3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5AD71A7A" w14:textId="77777777" w:rsidTr="00461A35">
        <w:trPr>
          <w:trHeight w:val="335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AB20E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193F10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95352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25326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0B37F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6FC2F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96962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0C3BA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59408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0D19D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A519A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67274997" w14:textId="77777777" w:rsidTr="00461A35">
        <w:trPr>
          <w:trHeight w:val="338"/>
          <w:jc w:val="center"/>
        </w:trPr>
        <w:tc>
          <w:tcPr>
            <w:tcW w:w="9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1F943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lastRenderedPageBreak/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869A71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...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DF8FF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A2789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F99A8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AA7DD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AB906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CFA8B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87700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E0D12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C553A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120615" w:rsidRPr="00B64858" w14:paraId="7100B64B" w14:textId="77777777" w:rsidTr="00461A35">
        <w:trPr>
          <w:trHeight w:val="356"/>
          <w:jc w:val="center"/>
        </w:trPr>
        <w:tc>
          <w:tcPr>
            <w:tcW w:w="2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93F25D5" w14:textId="77777777" w:rsidR="00D52212" w:rsidRPr="00B64858" w:rsidRDefault="00B64858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</w:rPr>
              <w:t>Tổ</w:t>
            </w:r>
            <w:r w:rsidR="00D52212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</w:rPr>
              <w:t>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D52212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số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9B568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52BC4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0DBDB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34121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A6C0D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40543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EB9BA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BFD93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FD1AF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</w:tbl>
    <w:p w14:paraId="435E5468" w14:textId="77777777" w:rsidR="00D52212" w:rsidRPr="00B64858" w:rsidRDefault="00D52212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</w:p>
    <w:p w14:paraId="14D8E8AF" w14:textId="77777777" w:rsidR="00D52212" w:rsidRPr="00B64858" w:rsidRDefault="00D52212" w:rsidP="00D52212">
      <w:pPr>
        <w:spacing w:after="0" w:line="240" w:lineRule="auto"/>
        <w:ind w:firstLine="580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Ghi</w:t>
      </w:r>
      <w:r w:rsidR="00461A35"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chú:</w:t>
      </w:r>
    </w:p>
    <w:p w14:paraId="60633F50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(8)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chứng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(bao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gồm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hồi).</w:t>
      </w:r>
    </w:p>
    <w:p w14:paraId="5A80D3AD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(9)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ứ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(phát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sinh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từ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đầu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đến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xác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phải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9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</w:p>
    <w:p w14:paraId="1B45781B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(10)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được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sách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hồ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sơ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đề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thanh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tiền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năm.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(10)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ổ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số.</w:t>
      </w:r>
    </w:p>
    <w:p w14:paraId="531D58A2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(11)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số.</w:t>
      </w:r>
    </w:p>
    <w:p w14:paraId="27DE1ADE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(ký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tên,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dấu)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excel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(copy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lưu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đĩa,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usb,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email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cấp),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khớp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giữa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bản.</w:t>
      </w:r>
    </w:p>
    <w:p w14:paraId="0EB96C3A" w14:textId="77777777" w:rsidR="00D52212" w:rsidRPr="00B64858" w:rsidRDefault="00D52212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br w:type="textWrapping" w:clear="all"/>
      </w:r>
    </w:p>
    <w:p w14:paraId="7A799BAC" w14:textId="77777777" w:rsidR="00D52212" w:rsidRPr="00B64858" w:rsidRDefault="00461A35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265614F0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4F6E13FA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4D014106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44286FE7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5E59B9E6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333D833F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59E0E7CB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242943C5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5E199B0E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175E54A9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18E29271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4718B19F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1962FFEC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0600CE70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67FC6006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57FCAF01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13D297A0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110F9BEF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1EDDEC41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42BD3794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700A0AEB" w14:textId="77777777" w:rsidR="00D52212" w:rsidRPr="00B64858" w:rsidRDefault="00D52212" w:rsidP="00D5221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lastRenderedPageBreak/>
        <w:t>M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ẫ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ố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06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8"/>
        <w:gridCol w:w="8814"/>
      </w:tblGrid>
      <w:tr w:rsidR="00D52212" w:rsidRPr="00B64858" w14:paraId="16709818" w14:textId="77777777" w:rsidTr="00D52212">
        <w:trPr>
          <w:trHeight w:val="626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D7A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NHÀ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NƯỚC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VIỆT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NAM</w:t>
            </w:r>
          </w:p>
          <w:p w14:paraId="7AC9F18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vertAlign w:val="superscript"/>
              </w:rPr>
              <w:t>________</w:t>
            </w:r>
          </w:p>
        </w:tc>
        <w:tc>
          <w:tcPr>
            <w:tcW w:w="103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070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</w:tbl>
    <w:p w14:paraId="78878551" w14:textId="77777777" w:rsidR="00D52212" w:rsidRPr="00B64858" w:rsidRDefault="00461A35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021261E6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Ổ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2022/2023</w:t>
      </w:r>
    </w:p>
    <w:p w14:paraId="16427692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(Đính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Công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văn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.../NHNN-TD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Bộ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Tài</w:t>
      </w:r>
      <w:r w:rsidR="00461A35"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i/>
          <w:iCs/>
          <w:color w:val="000000"/>
          <w:sz w:val="20"/>
          <w:szCs w:val="20"/>
          <w:highlight w:val="white"/>
          <w:lang w:val="vi-VN"/>
        </w:rPr>
        <w:t>chính)</w:t>
      </w:r>
    </w:p>
    <w:p w14:paraId="0ECB737F" w14:textId="77777777" w:rsidR="00D52212" w:rsidRPr="00B64858" w:rsidRDefault="00D52212" w:rsidP="00D5221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vị: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ồ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20"/>
        <w:gridCol w:w="854"/>
        <w:gridCol w:w="496"/>
        <w:gridCol w:w="360"/>
        <w:gridCol w:w="810"/>
        <w:gridCol w:w="611"/>
        <w:gridCol w:w="649"/>
        <w:gridCol w:w="720"/>
        <w:gridCol w:w="1530"/>
        <w:gridCol w:w="1260"/>
        <w:gridCol w:w="630"/>
        <w:gridCol w:w="990"/>
        <w:gridCol w:w="1350"/>
        <w:gridCol w:w="1540"/>
      </w:tblGrid>
      <w:tr w:rsidR="001F63E1" w:rsidRPr="00B64858" w14:paraId="24A4BB6C" w14:textId="77777777" w:rsidTr="001F63E1">
        <w:trPr>
          <w:trHeight w:val="997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1A78F3" w14:textId="77777777" w:rsidR="001F63E1" w:rsidRPr="00B64858" w:rsidRDefault="001F63E1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STT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9EC364" w14:textId="77777777" w:rsidR="001F63E1" w:rsidRPr="00B64858" w:rsidRDefault="001F63E1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Tên</w:t>
            </w:r>
          </w:p>
          <w:p w14:paraId="0DBAA740" w14:textId="77777777" w:rsidR="001F63E1" w:rsidRPr="00B64858" w:rsidRDefault="001F63E1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 hàng thương mại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AF0682" w14:textId="77777777" w:rsidR="001F63E1" w:rsidRPr="00B64858" w:rsidRDefault="001F63E1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Dư</w:t>
            </w:r>
          </w:p>
          <w:p w14:paraId="71999545" w14:textId="77777777" w:rsidR="001F63E1" w:rsidRPr="00B64858" w:rsidRDefault="001F63E1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nợ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HTLS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đầu năm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00756C" w14:textId="77777777" w:rsidR="001F63E1" w:rsidRPr="00B64858" w:rsidRDefault="001F63E1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Doanh số phát sinh trong năm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A585BB" w14:textId="77777777" w:rsidR="001F63E1" w:rsidRPr="00B64858" w:rsidRDefault="001F63E1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Dư</w:t>
            </w:r>
          </w:p>
          <w:p w14:paraId="71081413" w14:textId="77777777" w:rsidR="001F63E1" w:rsidRPr="00B64858" w:rsidRDefault="001F63E1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nợ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HTLS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cuối năm</w:t>
            </w:r>
          </w:p>
        </w:tc>
        <w:tc>
          <w:tcPr>
            <w:tcW w:w="6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F6FF22" w14:textId="77777777" w:rsidR="001F63E1" w:rsidRPr="00B64858" w:rsidRDefault="001F63E1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Hạn mức HTLS được thông báo</w:t>
            </w:r>
          </w:p>
        </w:tc>
        <w:tc>
          <w:tcPr>
            <w:tcW w:w="41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A69A49" w14:textId="77777777" w:rsidR="001F63E1" w:rsidRPr="00B64858" w:rsidRDefault="001F63E1" w:rsidP="001F63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Theo báo cáo quy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ế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 toán của NHTM</w:t>
            </w:r>
          </w:p>
        </w:tc>
        <w:tc>
          <w:tcPr>
            <w:tcW w:w="451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79C1AD" w14:textId="77777777" w:rsidR="001F63E1" w:rsidRPr="00B64858" w:rsidRDefault="001F63E1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Theo báo cáo t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ổ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</w:t>
            </w:r>
          </w:p>
          <w:p w14:paraId="4307FDE9" w14:textId="77777777" w:rsidR="001F63E1" w:rsidRPr="00B64858" w:rsidRDefault="001F63E1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h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ợp quyết toán của NHNNVN</w:t>
            </w:r>
          </w:p>
        </w:tc>
      </w:tr>
      <w:tr w:rsidR="00461A35" w:rsidRPr="00B64858" w14:paraId="3E2D786A" w14:textId="77777777" w:rsidTr="00461A35">
        <w:trPr>
          <w:trHeight w:val="2412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B6E7AA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E23EE6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93C4BC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EF4F91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Cho</w:t>
            </w:r>
          </w:p>
          <w:p w14:paraId="39CC3D66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vay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5C5615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</w:p>
          <w:p w14:paraId="505F5046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9775F4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94FA65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56A5C5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NHTM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224F6E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hồi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4E1922" w14:textId="77777777" w:rsidR="00461A35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được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NSNN</w:t>
            </w:r>
          </w:p>
          <w:p w14:paraId="3B2715F4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trước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81FAFE" w14:textId="77777777" w:rsidR="00461A35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tiền còn lại đề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nghị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NSNN</w:t>
            </w:r>
          </w:p>
          <w:p w14:paraId="4686DBCF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/hoặc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giảm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ế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theo/hoặc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hoàn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NSNN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AB5F81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NHTM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7BA065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</w:p>
          <w:p w14:paraId="54C515F0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hồi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E76A76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được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trước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EBF546" w14:textId="77777777" w:rsidR="00D52212" w:rsidRPr="00B64858" w:rsidRDefault="00D52212" w:rsidP="00461A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còn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phải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[nếu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(15)&gt;0],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hoặc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giảm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trừ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vào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tiếp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theo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hoặc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phải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hoàn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tr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ả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[nếu(15)&lt;0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]</w:t>
            </w:r>
          </w:p>
        </w:tc>
      </w:tr>
      <w:tr w:rsidR="00461A35" w:rsidRPr="00B64858" w14:paraId="12ADE7D8" w14:textId="77777777" w:rsidTr="00461A35">
        <w:trPr>
          <w:trHeight w:val="364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171494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(1)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143F2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(2)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C7441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(3)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08BCB1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(4)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FA4BAD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(5)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36196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(6)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7900B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(7)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11E7D0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(8)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B0112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(9)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8EA5D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(10)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7CE41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(11)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4684E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(12)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6432E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(13)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602BF1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(14)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6974AD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(15)-(12)-(13)-(14)</w:t>
            </w:r>
          </w:p>
        </w:tc>
      </w:tr>
      <w:tr w:rsidR="00461A35" w:rsidRPr="00B64858" w14:paraId="7C39207A" w14:textId="77777777" w:rsidTr="00461A35">
        <w:trPr>
          <w:trHeight w:val="436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4A3F88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82093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A8695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DDC05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298B7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D96D9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4D12C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D5C0C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5212A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A146A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20A6A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A50AE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9F7A3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212CA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BA1EB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461A35" w:rsidRPr="00B64858" w14:paraId="61940A5D" w14:textId="77777777" w:rsidTr="00461A35">
        <w:trPr>
          <w:trHeight w:val="439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9FEBE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29888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67A92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D18F5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74E9B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3663D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A1644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90FFF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B7759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275F8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87811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6F8BF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5A842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8D008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59D02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461A35" w:rsidRPr="00B64858" w14:paraId="214678F9" w14:textId="77777777" w:rsidTr="00461A35">
        <w:trPr>
          <w:trHeight w:val="468"/>
          <w:jc w:val="center"/>
        </w:trPr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75E7E9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ổ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2AEA1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62D3D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65990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AC64A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9F377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1F720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6626F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F0F8C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85464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E61D6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0221A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D1D07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376C6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</w:tbl>
    <w:p w14:paraId="279B9BDC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Gh</w:t>
      </w:r>
      <w:r w:rsidR="00461A35"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</w:rPr>
        <w:t>i</w:t>
      </w:r>
      <w:r w:rsidR="00461A35"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chú:</w:t>
      </w:r>
    </w:p>
    <w:p w14:paraId="17B711A1" w14:textId="77777777" w:rsidR="00461A35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(8),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(9),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(10),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(11)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của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thương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Mẫu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04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ẫ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05;</w:t>
      </w:r>
    </w:p>
    <w:p w14:paraId="652C04A2" w14:textId="77777777" w:rsidR="00D52212" w:rsidRPr="00B64858" w:rsidRDefault="00D52212" w:rsidP="00461A35">
      <w:pPr>
        <w:spacing w:after="12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(12),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(13),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(14),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(15)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toán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hỗ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quy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điểm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khoản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4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Điều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7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Nghị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này.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br w:type="textWrapping" w:clear="all"/>
      </w:r>
    </w:p>
    <w:p w14:paraId="64BAAF10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68DAEE73" w14:textId="77777777" w:rsidR="00461A35" w:rsidRPr="00B64858" w:rsidRDefault="00461A35" w:rsidP="00D52212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31FA925C" w14:textId="77777777" w:rsidR="00D52212" w:rsidRPr="00B64858" w:rsidRDefault="00F01E06" w:rsidP="00D5221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lastRenderedPageBreak/>
        <w:t>Mẫ</w:t>
      </w:r>
      <w:r w:rsidR="00D52212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u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="00D52212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07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8789"/>
      </w:tblGrid>
      <w:tr w:rsidR="00D52212" w:rsidRPr="00B64858" w14:paraId="235B73C6" w14:textId="77777777" w:rsidTr="00461A35">
        <w:trPr>
          <w:trHeight w:val="616"/>
        </w:trPr>
        <w:tc>
          <w:tcPr>
            <w:tcW w:w="40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B26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</w:p>
          <w:p w14:paraId="12430C1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vertAlign w:val="superscript"/>
              </w:rPr>
              <w:t>________</w:t>
            </w:r>
          </w:p>
        </w:tc>
        <w:tc>
          <w:tcPr>
            <w:tcW w:w="8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980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</w:tbl>
    <w:p w14:paraId="06752DC1" w14:textId="77777777" w:rsidR="00461A35" w:rsidRPr="00B64858" w:rsidRDefault="00461A35" w:rsidP="00D5221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</w:pPr>
    </w:p>
    <w:p w14:paraId="5868E8C7" w14:textId="77777777" w:rsidR="00D52212" w:rsidRPr="00B64858" w:rsidRDefault="00D52212" w:rsidP="00D522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Ổ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HỢP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KẾT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QUẢ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H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</w:rPr>
        <w:t>Ỗ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LÃI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SUẤT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CẢ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CHƯƠNG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TRÌNH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02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NĂM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2022,</w:t>
      </w:r>
      <w:r w:rsidR="00461A35"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color w:val="000000"/>
          <w:sz w:val="20"/>
          <w:szCs w:val="20"/>
          <w:highlight w:val="white"/>
          <w:lang w:val="vi-VN"/>
        </w:rPr>
        <w:t>2023</w:t>
      </w:r>
    </w:p>
    <w:p w14:paraId="4BB705D1" w14:textId="77777777" w:rsidR="00D52212" w:rsidRPr="00B64858" w:rsidRDefault="00D52212" w:rsidP="00461A3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Đơn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vị: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ồ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1559"/>
        <w:gridCol w:w="1023"/>
        <w:gridCol w:w="619"/>
        <w:gridCol w:w="670"/>
        <w:gridCol w:w="1045"/>
        <w:gridCol w:w="1126"/>
        <w:gridCol w:w="1023"/>
        <w:gridCol w:w="1133"/>
        <w:gridCol w:w="1040"/>
        <w:gridCol w:w="953"/>
        <w:gridCol w:w="991"/>
        <w:gridCol w:w="1094"/>
      </w:tblGrid>
      <w:tr w:rsidR="00D52212" w:rsidRPr="00B64858" w14:paraId="3A19A9E0" w14:textId="77777777" w:rsidTr="00D52212">
        <w:trPr>
          <w:trHeight w:val="1224"/>
          <w:jc w:val="center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66EF8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STT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FEF3C4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Tên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ngân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mại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(theo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địa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bàn)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DA801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Dư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đầu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chư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ơ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trình</w:t>
            </w: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71D78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Doanh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phát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sinh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02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669E6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Dư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cu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ố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chương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trình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D7A42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Theo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báo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cáo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quyết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của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NHTM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C1DBC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Theo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thông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báo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ẩ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định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của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Bộ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Tài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chính</w:t>
            </w:r>
          </w:p>
        </w:tc>
      </w:tr>
      <w:tr w:rsidR="00120615" w:rsidRPr="00B64858" w14:paraId="7FD1A155" w14:textId="77777777" w:rsidTr="00D52212">
        <w:trPr>
          <w:trHeight w:val="308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96D9E2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316EF9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7AFEF5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93AED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Cho</w:t>
            </w:r>
          </w:p>
          <w:p w14:paraId="7FA6F33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vay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CCD2D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nợ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C1E19E" w14:textId="77777777" w:rsidR="00D52212" w:rsidRPr="00B64858" w:rsidRDefault="00D52212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F93DD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</w:p>
          <w:p w14:paraId="72C754D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NHTM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02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0E010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ồ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02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="00B64858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n</w:t>
            </w:r>
            <w:r w:rsidR="00B64858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</w:rPr>
              <w:t>ă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u w:color="FF0000"/>
                <w:lang w:val="vi-VN"/>
              </w:rPr>
              <w:t>m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4B978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đư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ợ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</w:t>
            </w:r>
          </w:p>
          <w:p w14:paraId="57020D2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trước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02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BEB66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NHTM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02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69751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HTLS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bị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thu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hồi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02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BD2EF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đã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được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trước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trong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02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năm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BED9F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Số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tiền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NSNN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còn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phải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thanh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toán,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hoặc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NHTM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phải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hoàn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trả</w:t>
            </w:r>
          </w:p>
          <w:p w14:paraId="2FBCFA0D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NSNN</w:t>
            </w:r>
          </w:p>
        </w:tc>
      </w:tr>
      <w:tr w:rsidR="00D52212" w:rsidRPr="00B64858" w14:paraId="6776AD6E" w14:textId="77777777" w:rsidTr="00D52212">
        <w:trPr>
          <w:trHeight w:val="335"/>
          <w:jc w:val="center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827273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(1)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117A9F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(2)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E04BC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(3)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EC83CC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(4)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D1878D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(5)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4A2F9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(6)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80FDDE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(7)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3C126C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(8)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FAB40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(9)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D87E4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(10)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371438E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(11)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398FA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(12)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48D74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(13)</w:t>
            </w:r>
          </w:p>
        </w:tc>
      </w:tr>
      <w:tr w:rsidR="00D52212" w:rsidRPr="00B64858" w14:paraId="7B7C05D1" w14:textId="77777777" w:rsidTr="00D52212">
        <w:trPr>
          <w:trHeight w:val="680"/>
          <w:jc w:val="center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EE8467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E49747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TP.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Hà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Nội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8C5A4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704DA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60D7A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3E6B3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A45B1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46BAE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7DD37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264D0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64F1D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9F5E3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EF116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2E0ABD91" w14:textId="77777777" w:rsidTr="00D52212">
        <w:trPr>
          <w:trHeight w:val="670"/>
          <w:jc w:val="center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F81BEF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1.1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548726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>A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D1A92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5309A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A6D06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9676E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5C7A8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D625A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6F348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3E4BF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F4724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D024A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1B940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4980415D" w14:textId="77777777" w:rsidTr="00D52212">
        <w:trPr>
          <w:trHeight w:val="670"/>
          <w:jc w:val="center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17222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1.2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8691D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B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95537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B1150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80FBA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43C39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B2292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E0AB3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14F06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56E18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16D08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4ADF1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5DBF4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400F0335" w14:textId="77777777" w:rsidTr="00D52212">
        <w:trPr>
          <w:trHeight w:val="353"/>
          <w:jc w:val="center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587190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0986E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89A48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79FA5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854B3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A29F7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CCA46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CC974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D55D8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720E3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98055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1268C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4B33C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</w:tbl>
    <w:p w14:paraId="1AFAE9E3" w14:textId="77777777" w:rsidR="00D52212" w:rsidRPr="00B64858" w:rsidRDefault="00D52212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700"/>
        <w:gridCol w:w="955"/>
        <w:gridCol w:w="596"/>
        <w:gridCol w:w="661"/>
        <w:gridCol w:w="977"/>
        <w:gridCol w:w="1126"/>
        <w:gridCol w:w="1039"/>
        <w:gridCol w:w="1135"/>
        <w:gridCol w:w="1042"/>
        <w:gridCol w:w="949"/>
        <w:gridCol w:w="996"/>
        <w:gridCol w:w="1104"/>
      </w:tblGrid>
      <w:tr w:rsidR="00D52212" w:rsidRPr="00B64858" w14:paraId="7FF9753D" w14:textId="77777777" w:rsidTr="00D52212">
        <w:trPr>
          <w:trHeight w:val="101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EB76F1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lastRenderedPageBreak/>
              <w:t>2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3ECE5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TP.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Hồ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Chí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Minh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7EFB2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760AA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84137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ECACA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A8616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AC907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300BD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42F77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1C918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08F90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4793A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4D5500F5" w14:textId="77777777" w:rsidTr="00D52212">
        <w:trPr>
          <w:trHeight w:val="6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13AF1B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2.1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3161B9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X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7EB18D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6E42A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0068C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C1294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5A955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1F013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7D9A8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9F06B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D0644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A2F50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9F824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6A3B62A1" w14:textId="77777777" w:rsidTr="00D52212">
        <w:trPr>
          <w:trHeight w:val="673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28ED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2.2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FDE3A2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Chi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nhánh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Y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12936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AE5A5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CCC01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F19E8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5A692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817A3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39DFB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48BD4E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93584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ADF72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EF73D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0FC93AFD" w14:textId="77777777" w:rsidTr="00D52212">
        <w:trPr>
          <w:trHeight w:val="342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43B9CC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3B6B8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98D82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A97DA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45502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20804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E6A9D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0D985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99D3D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5FB1B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31D3E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9B52F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CB500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2B0B9E75" w14:textId="77777777" w:rsidTr="00D52212">
        <w:trPr>
          <w:trHeight w:val="6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E8C2B8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3.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82D94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Tỉnh..........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D61065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3FD4D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D560B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EC758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6540C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7263C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6A116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2A3C9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62373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EDA0E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41DEC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770598BE" w14:textId="77777777" w:rsidTr="00D52212">
        <w:trPr>
          <w:trHeight w:val="346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CAAA25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3.1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EE3DC3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C4201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10837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90A6B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590B6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1671F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1ECF8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0C036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EB30FA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C2C74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62D9B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45FCF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48E7941C" w14:textId="77777777" w:rsidTr="00D52212">
        <w:trPr>
          <w:trHeight w:val="342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C1AE8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D51547A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  <w:r w:rsidR="00461A35"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>•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22813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C42453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B25BF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7F0E7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59B44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650C1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8D861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5E72A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6251E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EC1F50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7A10E9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  <w:tr w:rsidR="00D52212" w:rsidRPr="00B64858" w14:paraId="064BF0B8" w14:textId="77777777" w:rsidTr="00D52212">
        <w:trPr>
          <w:trHeight w:val="356"/>
          <w:jc w:val="center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29CB5D" w14:textId="77777777" w:rsidR="00D52212" w:rsidRPr="00B64858" w:rsidRDefault="00D52212" w:rsidP="00D52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T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ổ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>ng</w:t>
            </w:r>
            <w:r w:rsidR="00461A35"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  <w:r w:rsidRPr="00B64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số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6B9CC8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6A7102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7E3717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142D44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19879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733EF6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43496B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6484A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4110DF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310291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3C606C" w14:textId="77777777" w:rsidR="00D52212" w:rsidRPr="00B64858" w:rsidRDefault="00461A35" w:rsidP="00D52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</w:pPr>
            <w:r w:rsidRPr="00B64858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  <w:lang w:val="vi-VN"/>
              </w:rPr>
              <w:t xml:space="preserve"> </w:t>
            </w:r>
          </w:p>
        </w:tc>
      </w:tr>
    </w:tbl>
    <w:p w14:paraId="2A5E8276" w14:textId="77777777" w:rsidR="00D52212" w:rsidRPr="00B64858" w:rsidRDefault="00461A35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06BFA484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Gh</w:t>
      </w: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</w:rPr>
        <w:t>i</w:t>
      </w:r>
      <w:r w:rsidR="00461A35"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highlight w:val="white"/>
          <w:lang w:val="vi-VN"/>
        </w:rPr>
        <w:t>chú:</w:t>
      </w:r>
    </w:p>
    <w:p w14:paraId="0116FF8C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cột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(10),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(11),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(12),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(13)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dòng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Tổng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số.</w:t>
      </w:r>
    </w:p>
    <w:p w14:paraId="6A565C0C" w14:textId="77777777" w:rsidR="00D52212" w:rsidRPr="00B64858" w:rsidRDefault="00D52212" w:rsidP="00461A3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-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thư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ơ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mại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chính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(ký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tên,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đóng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dấu)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kèm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excel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(copy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trong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thiết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bị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lưu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trữ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như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đĩa,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usb,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hoặc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gửi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>email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theo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địa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chỉ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Ngân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hàng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Nhà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nước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Việt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Nam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cung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cấp),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đảm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bảo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khớp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đúng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dữ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liệu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giữa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các</w:t>
      </w:r>
      <w:r w:rsidR="00461A35"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>bản.</w:t>
      </w:r>
    </w:p>
    <w:p w14:paraId="0E162F6D" w14:textId="77777777" w:rsidR="00D52212" w:rsidRPr="00B64858" w:rsidRDefault="00D52212" w:rsidP="00D52212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br w:type="textWrapping" w:clear="all"/>
      </w:r>
    </w:p>
    <w:p w14:paraId="0426193B" w14:textId="77777777" w:rsidR="00D52212" w:rsidRPr="00B64858" w:rsidRDefault="00461A35" w:rsidP="00D522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white"/>
        </w:rPr>
      </w:pPr>
      <w:r w:rsidRPr="00B64858">
        <w:rPr>
          <w:rFonts w:ascii="Arial" w:eastAsia="Times New Roman" w:hAnsi="Arial" w:cs="Arial"/>
          <w:color w:val="000000"/>
          <w:sz w:val="20"/>
          <w:szCs w:val="20"/>
          <w:highlight w:val="white"/>
          <w:lang w:val="vi-VN"/>
        </w:rPr>
        <w:t xml:space="preserve"> </w:t>
      </w:r>
    </w:p>
    <w:p w14:paraId="44A29B7D" w14:textId="77777777" w:rsidR="00B84BF4" w:rsidRPr="00B64858" w:rsidRDefault="00B84BF4">
      <w:pPr>
        <w:rPr>
          <w:rFonts w:ascii="Arial" w:hAnsi="Arial" w:cs="Arial"/>
          <w:sz w:val="20"/>
          <w:szCs w:val="20"/>
          <w:highlight w:val="white"/>
        </w:rPr>
      </w:pPr>
    </w:p>
    <w:sectPr w:rsidR="00B84BF4" w:rsidRPr="00B64858" w:rsidSect="00D522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F6D45" w14:textId="77777777" w:rsidR="00E53127" w:rsidRDefault="00E53127" w:rsidP="00624380">
      <w:pPr>
        <w:spacing w:after="0" w:line="240" w:lineRule="auto"/>
      </w:pPr>
      <w:r>
        <w:separator/>
      </w:r>
    </w:p>
  </w:endnote>
  <w:endnote w:type="continuationSeparator" w:id="0">
    <w:p w14:paraId="4818AEB9" w14:textId="77777777" w:rsidR="00E53127" w:rsidRDefault="00E53127" w:rsidP="0062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DF603" w14:textId="77777777" w:rsidR="00E53127" w:rsidRDefault="00E53127" w:rsidP="00624380">
      <w:pPr>
        <w:spacing w:after="0" w:line="240" w:lineRule="auto"/>
      </w:pPr>
      <w:r>
        <w:separator/>
      </w:r>
    </w:p>
  </w:footnote>
  <w:footnote w:type="continuationSeparator" w:id="0">
    <w:p w14:paraId="0E28CE49" w14:textId="77777777" w:rsidR="00E53127" w:rsidRDefault="00E53127" w:rsidP="006243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12"/>
    <w:rsid w:val="00082383"/>
    <w:rsid w:val="00120615"/>
    <w:rsid w:val="001F63E1"/>
    <w:rsid w:val="002071EE"/>
    <w:rsid w:val="00461A35"/>
    <w:rsid w:val="00624380"/>
    <w:rsid w:val="007B25AD"/>
    <w:rsid w:val="007E1F74"/>
    <w:rsid w:val="00975D60"/>
    <w:rsid w:val="00AF7F71"/>
    <w:rsid w:val="00B64858"/>
    <w:rsid w:val="00B84BF4"/>
    <w:rsid w:val="00CB2292"/>
    <w:rsid w:val="00D52212"/>
    <w:rsid w:val="00DE3FBF"/>
    <w:rsid w:val="00E53127"/>
    <w:rsid w:val="00F0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FF391"/>
  <w15:chartTrackingRefBased/>
  <w15:docId w15:val="{36E9FB83-68D7-4B38-9146-853EF32E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52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D5221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0">
    <w:name w:val="heading10"/>
    <w:basedOn w:val="Normal"/>
    <w:rsid w:val="00D52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0">
    <w:name w:val="bodytext20"/>
    <w:basedOn w:val="Normal"/>
    <w:rsid w:val="00D52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ther0">
    <w:name w:val="other0"/>
    <w:basedOn w:val="Normal"/>
    <w:rsid w:val="00D52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aption0">
    <w:name w:val="tablecaption0"/>
    <w:basedOn w:val="Normal"/>
    <w:rsid w:val="00D52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43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38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43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43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3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6211</Words>
  <Characters>35403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dcterms:created xsi:type="dcterms:W3CDTF">2022-07-19T04:53:00Z</dcterms:created>
  <dcterms:modified xsi:type="dcterms:W3CDTF">2022-07-19T04:53:00Z</dcterms:modified>
</cp:coreProperties>
</file>