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 w14:paraId="322F419D" w14:textId="77777777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F505F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BỘ TÀI CHÍNH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B10C5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 w14:paraId="1ED75DB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4FB2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 xml:space="preserve">Số: </w:t>
            </w:r>
            <w:r>
              <w:t>72</w:t>
            </w:r>
            <w:r>
              <w:rPr>
                <w:lang w:val="vi-VN"/>
              </w:rPr>
              <w:t>/2022/TT-BTC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4D0B4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 xml:space="preserve">Hà Nội, ngày </w:t>
            </w:r>
            <w:r>
              <w:rPr>
                <w:i/>
                <w:iCs/>
              </w:rPr>
              <w:t>30</w:t>
            </w:r>
            <w:r>
              <w:rPr>
                <w:i/>
                <w:iCs/>
                <w:lang w:val="vi-VN"/>
              </w:rPr>
              <w:t xml:space="preserve"> tháng </w:t>
            </w:r>
            <w:r>
              <w:rPr>
                <w:i/>
                <w:iCs/>
              </w:rPr>
              <w:t>11</w:t>
            </w:r>
            <w:r>
              <w:rPr>
                <w:i/>
                <w:iCs/>
                <w:lang w:val="vi-VN"/>
              </w:rPr>
              <w:t xml:space="preserve"> năm </w:t>
            </w:r>
            <w:r>
              <w:rPr>
                <w:i/>
                <w:iCs/>
              </w:rPr>
              <w:t>2022</w:t>
            </w:r>
          </w:p>
        </w:tc>
      </w:tr>
    </w:tbl>
    <w:p w14:paraId="4731E9AD" w14:textId="77777777" w:rsidR="00000000" w:rsidRDefault="00000000">
      <w:pPr>
        <w:spacing w:before="120" w:after="280" w:afterAutospacing="1"/>
      </w:pPr>
      <w:r>
        <w:t> </w:t>
      </w:r>
    </w:p>
    <w:p w14:paraId="60DE694A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THÔNG TƯ</w:t>
      </w:r>
    </w:p>
    <w:p w14:paraId="4F7A14BF" w14:textId="77777777" w:rsidR="00000000" w:rsidRDefault="00000000">
      <w:pPr>
        <w:spacing w:before="120" w:after="280" w:afterAutospacing="1"/>
        <w:jc w:val="center"/>
      </w:pPr>
      <w:r>
        <w:rPr>
          <w:lang w:val="vi-VN"/>
        </w:rPr>
        <w:t>NGƯNG HIỆU LỰC CỦA THÔNG TƯ SỐ 31/2022/TT-BTC NGÀY 08 THÁNG 06 NĂM 2022 CỦA BỘ TRƯỞNG BỘ TÀI CHÍNH BAN HÀNH DANH MỤC HÀNG HÓA XUẤT KHẨU, NHẬP KHẨU VIỆT NAM</w:t>
      </w:r>
    </w:p>
    <w:p w14:paraId="197ACD90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</w:t>
      </w:r>
      <w:r>
        <w:rPr>
          <w:i/>
          <w:iCs/>
        </w:rPr>
        <w:t>ă</w:t>
      </w:r>
      <w:r>
        <w:rPr>
          <w:i/>
          <w:iCs/>
          <w:lang w:val="vi-VN"/>
        </w:rPr>
        <w:t>n cứ Luật H</w:t>
      </w:r>
      <w:r>
        <w:rPr>
          <w:i/>
          <w:iCs/>
        </w:rPr>
        <w:t>ả</w:t>
      </w:r>
      <w:r>
        <w:rPr>
          <w:i/>
          <w:iCs/>
          <w:lang w:val="vi-VN"/>
        </w:rPr>
        <w:t>i quan ngày 23 tháng 6 năm 2014;</w:t>
      </w:r>
    </w:p>
    <w:p w14:paraId="172CCF8D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Luật Ban hành văn bản quy phạm pháp luật ngày 22 tháng 6 năm 2015;</w:t>
      </w:r>
    </w:p>
    <w:p w14:paraId="2D231D94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</w:t>
      </w:r>
      <w:r>
        <w:rPr>
          <w:i/>
          <w:iCs/>
        </w:rPr>
        <w:t>ă</w:t>
      </w:r>
      <w:r>
        <w:rPr>
          <w:i/>
          <w:iCs/>
          <w:lang w:val="vi-VN"/>
        </w:rPr>
        <w:t>n c</w:t>
      </w:r>
      <w:r>
        <w:rPr>
          <w:i/>
          <w:iCs/>
        </w:rPr>
        <w:t xml:space="preserve">ứ </w:t>
      </w:r>
      <w:r>
        <w:rPr>
          <w:i/>
          <w:iCs/>
          <w:lang w:val="vi-VN"/>
        </w:rPr>
        <w:t>Luật sửa đ</w:t>
      </w:r>
      <w:r>
        <w:rPr>
          <w:i/>
          <w:iCs/>
        </w:rPr>
        <w:t>ổ</w:t>
      </w:r>
      <w:r>
        <w:rPr>
          <w:i/>
          <w:iCs/>
          <w:lang w:val="vi-VN"/>
        </w:rPr>
        <w:t>i bổ sung một số điều của Luật Ban hành văn bản quy phạm pháp luật ngày 18 tháng 6 n</w:t>
      </w:r>
      <w:r>
        <w:rPr>
          <w:i/>
          <w:iCs/>
        </w:rPr>
        <w:t>ă</w:t>
      </w:r>
      <w:r>
        <w:rPr>
          <w:i/>
          <w:iCs/>
          <w:lang w:val="vi-VN"/>
        </w:rPr>
        <w:t>m 2020;</w:t>
      </w:r>
    </w:p>
    <w:p w14:paraId="373289F0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</w:t>
      </w:r>
      <w:r>
        <w:rPr>
          <w:i/>
          <w:iCs/>
        </w:rPr>
        <w:t>ă</w:t>
      </w:r>
      <w:r>
        <w:rPr>
          <w:i/>
          <w:iCs/>
          <w:lang w:val="vi-VN"/>
        </w:rPr>
        <w:t>n c</w:t>
      </w:r>
      <w:r>
        <w:rPr>
          <w:i/>
          <w:iCs/>
        </w:rPr>
        <w:t xml:space="preserve">ứ </w:t>
      </w:r>
      <w:r>
        <w:rPr>
          <w:i/>
          <w:iCs/>
          <w:lang w:val="vi-VN"/>
        </w:rPr>
        <w:t>Nghị định số 08/2015/NĐ-CP ngày 21 th</w:t>
      </w:r>
      <w:r>
        <w:rPr>
          <w:i/>
          <w:iCs/>
        </w:rPr>
        <w:t>á</w:t>
      </w:r>
      <w:r>
        <w:rPr>
          <w:i/>
          <w:iCs/>
          <w:lang w:val="vi-VN"/>
        </w:rPr>
        <w:t>ng 01 năm 2015 của Chính phủ quy định chi tiết và biện pháp thi hành Luật H</w:t>
      </w:r>
      <w:r>
        <w:rPr>
          <w:i/>
          <w:iCs/>
        </w:rPr>
        <w:t>ả</w:t>
      </w:r>
      <w:r>
        <w:rPr>
          <w:i/>
          <w:iCs/>
          <w:lang w:val="vi-VN"/>
        </w:rPr>
        <w:t>i quan về thủ tục h</w:t>
      </w:r>
      <w:r>
        <w:rPr>
          <w:i/>
          <w:iCs/>
        </w:rPr>
        <w:t>ả</w:t>
      </w:r>
      <w:r>
        <w:rPr>
          <w:i/>
          <w:iCs/>
          <w:lang w:val="vi-VN"/>
        </w:rPr>
        <w:t>i quan, kiểm tra, giám sát, kiểm soát h</w:t>
      </w:r>
      <w:r>
        <w:rPr>
          <w:i/>
          <w:iCs/>
        </w:rPr>
        <w:t>ả</w:t>
      </w:r>
      <w:r>
        <w:rPr>
          <w:i/>
          <w:iCs/>
          <w:lang w:val="vi-VN"/>
        </w:rPr>
        <w:t>i quan;</w:t>
      </w:r>
    </w:p>
    <w:p w14:paraId="28E2877E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</w:t>
      </w:r>
      <w:r>
        <w:rPr>
          <w:i/>
          <w:iCs/>
        </w:rPr>
        <w:t>ă</w:t>
      </w:r>
      <w:r>
        <w:rPr>
          <w:i/>
          <w:iCs/>
          <w:lang w:val="vi-VN"/>
        </w:rPr>
        <w:t>n cứ Nghị định số 59/2018/NĐ-CP ngày 20 tháng 4 n</w:t>
      </w:r>
      <w:r>
        <w:rPr>
          <w:i/>
          <w:iCs/>
        </w:rPr>
        <w:t>ă</w:t>
      </w:r>
      <w:r>
        <w:rPr>
          <w:i/>
          <w:iCs/>
          <w:lang w:val="vi-VN"/>
        </w:rPr>
        <w:t>m 2018 của Chính phủ sửa đổi, bổ sung một số điều của Nghị định số 08/2015/NĐ-CP ngày 21 tháng 01 n</w:t>
      </w:r>
      <w:r>
        <w:rPr>
          <w:i/>
          <w:iCs/>
        </w:rPr>
        <w:t>ă</w:t>
      </w:r>
      <w:r>
        <w:rPr>
          <w:i/>
          <w:iCs/>
          <w:lang w:val="vi-VN"/>
        </w:rPr>
        <w:t>m 2015;</w:t>
      </w:r>
    </w:p>
    <w:p w14:paraId="1574B54F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</w:t>
      </w:r>
      <w:r>
        <w:rPr>
          <w:i/>
          <w:iCs/>
        </w:rPr>
        <w:t>ă</w:t>
      </w:r>
      <w:r>
        <w:rPr>
          <w:i/>
          <w:iCs/>
          <w:lang w:val="vi-VN"/>
        </w:rPr>
        <w:t>n cứ Hiệp định Hải quan ASEAN ký ngày 30 tháng 3 năm 2012 tại C</w:t>
      </w:r>
      <w:r>
        <w:rPr>
          <w:i/>
          <w:iCs/>
        </w:rPr>
        <w:t>ă</w:t>
      </w:r>
      <w:r>
        <w:rPr>
          <w:i/>
          <w:iCs/>
          <w:lang w:val="vi-VN"/>
        </w:rPr>
        <w:t>m-pu-chia;</w:t>
      </w:r>
    </w:p>
    <w:p w14:paraId="395C4495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</w:t>
      </w:r>
      <w:r>
        <w:rPr>
          <w:i/>
          <w:iCs/>
        </w:rPr>
        <w:t>ă</w:t>
      </w:r>
      <w:r>
        <w:rPr>
          <w:i/>
          <w:iCs/>
          <w:lang w:val="vi-VN"/>
        </w:rPr>
        <w:t>n cứ Quyết định số 49/QĐ-CTN ngày 06 tháng 3 năm 1998 của Ch</w:t>
      </w:r>
      <w:r>
        <w:rPr>
          <w:i/>
          <w:iCs/>
        </w:rPr>
        <w:t xml:space="preserve">ủ </w:t>
      </w:r>
      <w:r>
        <w:rPr>
          <w:i/>
          <w:iCs/>
          <w:lang w:val="vi-VN"/>
        </w:rPr>
        <w:t xml:space="preserve">tịch nước Cộng hòa </w:t>
      </w:r>
      <w:r>
        <w:rPr>
          <w:i/>
          <w:iCs/>
        </w:rPr>
        <w:t xml:space="preserve">xã </w:t>
      </w:r>
      <w:r>
        <w:rPr>
          <w:i/>
          <w:iCs/>
          <w:lang w:val="vi-VN"/>
        </w:rPr>
        <w:t>hội chủ nghĩa Việt Nam về việc Việt Nam tham gia Công ước quốc tế về Hệ thống hài hòa mô tả và m</w:t>
      </w:r>
      <w:r>
        <w:rPr>
          <w:i/>
          <w:iCs/>
        </w:rPr>
        <w:t>ã</w:t>
      </w:r>
      <w:r>
        <w:rPr>
          <w:i/>
          <w:iCs/>
          <w:lang w:val="vi-VN"/>
        </w:rPr>
        <w:t xml:space="preserve"> h</w:t>
      </w:r>
      <w:r>
        <w:rPr>
          <w:i/>
          <w:iCs/>
        </w:rPr>
        <w:t>ó</w:t>
      </w:r>
      <w:r>
        <w:rPr>
          <w:i/>
          <w:iCs/>
          <w:lang w:val="vi-VN"/>
        </w:rPr>
        <w:t>a hàng hóa của Tổ chức H</w:t>
      </w:r>
      <w:r>
        <w:rPr>
          <w:i/>
          <w:iCs/>
        </w:rPr>
        <w:t>ả</w:t>
      </w:r>
      <w:r>
        <w:rPr>
          <w:i/>
          <w:iCs/>
          <w:lang w:val="vi-VN"/>
        </w:rPr>
        <w:t>i quan thế giới (Công ước HS);</w:t>
      </w:r>
    </w:p>
    <w:p w14:paraId="23BFDA67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</w:t>
      </w:r>
      <w:r>
        <w:rPr>
          <w:i/>
          <w:iCs/>
        </w:rPr>
        <w:t>ă</w:t>
      </w:r>
      <w:r>
        <w:rPr>
          <w:i/>
          <w:iCs/>
          <w:lang w:val="vi-VN"/>
        </w:rPr>
        <w:t>n cứ Nghị định số 87/2017/NĐ-CP ngày 26 tháng 7 năm 2017 của Chính phủ quy định chức n</w:t>
      </w:r>
      <w:r>
        <w:rPr>
          <w:i/>
          <w:iCs/>
        </w:rPr>
        <w:t>ă</w:t>
      </w:r>
      <w:r>
        <w:rPr>
          <w:i/>
          <w:iCs/>
          <w:lang w:val="vi-VN"/>
        </w:rPr>
        <w:t>ng, nhiệm vụ, quyền hạn và cơ cấu tổ chức của Bộ Tài chính;</w:t>
      </w:r>
    </w:p>
    <w:p w14:paraId="122A65D5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Thực hiện Nghị quyết s</w:t>
      </w:r>
      <w:r>
        <w:rPr>
          <w:i/>
          <w:iCs/>
        </w:rPr>
        <w:t>ố</w:t>
      </w:r>
      <w:r>
        <w:rPr>
          <w:i/>
          <w:iCs/>
          <w:lang w:val="vi-VN"/>
        </w:rPr>
        <w:t xml:space="preserve"> 29/NQ-CP ngày 08 tháng 03 năm 2022 của Ch</w:t>
      </w:r>
      <w:r>
        <w:rPr>
          <w:i/>
          <w:iCs/>
        </w:rPr>
        <w:t>í</w:t>
      </w:r>
      <w:r>
        <w:rPr>
          <w:i/>
          <w:iCs/>
          <w:lang w:val="vi-VN"/>
        </w:rPr>
        <w:t>nh ph</w:t>
      </w:r>
      <w:r>
        <w:rPr>
          <w:i/>
          <w:iCs/>
        </w:rPr>
        <w:t xml:space="preserve">ủ </w:t>
      </w:r>
      <w:r>
        <w:rPr>
          <w:i/>
          <w:iCs/>
          <w:lang w:val="vi-VN"/>
        </w:rPr>
        <w:t>phê duyệt Danh mục Bi</w:t>
      </w:r>
      <w:r>
        <w:rPr>
          <w:i/>
          <w:iCs/>
        </w:rPr>
        <w:t>ể</w:t>
      </w:r>
      <w:r>
        <w:rPr>
          <w:i/>
          <w:iCs/>
          <w:lang w:val="vi-VN"/>
        </w:rPr>
        <w:t>u thuế hài hòa ASEAN phiên b</w:t>
      </w:r>
      <w:r>
        <w:rPr>
          <w:i/>
          <w:iCs/>
        </w:rPr>
        <w:t>ả</w:t>
      </w:r>
      <w:r>
        <w:rPr>
          <w:i/>
          <w:iCs/>
          <w:lang w:val="vi-VN"/>
        </w:rPr>
        <w:t>n 2022;</w:t>
      </w:r>
    </w:p>
    <w:p w14:paraId="7F9149A2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Theo đề nghị của Tổng cục trưởng T</w:t>
      </w:r>
      <w:r>
        <w:rPr>
          <w:i/>
          <w:iCs/>
        </w:rPr>
        <w:t>ổ</w:t>
      </w:r>
      <w:r>
        <w:rPr>
          <w:i/>
          <w:iCs/>
          <w:lang w:val="vi-VN"/>
        </w:rPr>
        <w:t>ng cục H</w:t>
      </w:r>
      <w:r>
        <w:rPr>
          <w:i/>
          <w:iCs/>
        </w:rPr>
        <w:t>ả</w:t>
      </w:r>
      <w:r>
        <w:rPr>
          <w:i/>
          <w:iCs/>
          <w:lang w:val="vi-VN"/>
        </w:rPr>
        <w:t>i quan;</w:t>
      </w:r>
    </w:p>
    <w:p w14:paraId="03C2C0F8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Bộ trư</w:t>
      </w:r>
      <w:r>
        <w:rPr>
          <w:i/>
          <w:iCs/>
        </w:rPr>
        <w:t>ở</w:t>
      </w:r>
      <w:r>
        <w:rPr>
          <w:i/>
          <w:iCs/>
          <w:lang w:val="vi-VN"/>
        </w:rPr>
        <w:t>ng Bộ Tài chính ban hành Thông tư ngưng hiệu lực của Thông tư số 31/2022/TT-BTC ngày 08 tháng 06 năm 2022 của Bộ trư</w:t>
      </w:r>
      <w:r>
        <w:rPr>
          <w:i/>
          <w:iCs/>
        </w:rPr>
        <w:t>ở</w:t>
      </w:r>
      <w:r>
        <w:rPr>
          <w:i/>
          <w:iCs/>
          <w:lang w:val="vi-VN"/>
        </w:rPr>
        <w:t>ng Bộ Tài chính ban hành Danh mục hàng h</w:t>
      </w:r>
      <w:r>
        <w:rPr>
          <w:i/>
          <w:iCs/>
        </w:rPr>
        <w:t xml:space="preserve">óa </w:t>
      </w:r>
      <w:r>
        <w:rPr>
          <w:i/>
          <w:iCs/>
          <w:lang w:val="vi-VN"/>
        </w:rPr>
        <w:t>xuất kh</w:t>
      </w:r>
      <w:r>
        <w:rPr>
          <w:i/>
          <w:iCs/>
        </w:rPr>
        <w:t>ẩ</w:t>
      </w:r>
      <w:r>
        <w:rPr>
          <w:i/>
          <w:iCs/>
          <w:lang w:val="vi-VN"/>
        </w:rPr>
        <w:t>u, nhập kh</w:t>
      </w:r>
      <w:r>
        <w:rPr>
          <w:i/>
          <w:iCs/>
        </w:rPr>
        <w:t>ẩ</w:t>
      </w:r>
      <w:r>
        <w:rPr>
          <w:i/>
          <w:iCs/>
          <w:lang w:val="vi-VN"/>
        </w:rPr>
        <w:t>u Việt Nam.</w:t>
      </w:r>
    </w:p>
    <w:p w14:paraId="617199F9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1. Ngưng hiệu l</w:t>
      </w:r>
      <w:r>
        <w:rPr>
          <w:b/>
          <w:bCs/>
        </w:rPr>
        <w:t>ự</w:t>
      </w:r>
      <w:r>
        <w:rPr>
          <w:b/>
          <w:bCs/>
          <w:lang w:val="vi-VN"/>
        </w:rPr>
        <w:t>c thi hành.</w:t>
      </w:r>
    </w:p>
    <w:p w14:paraId="5E2CC1EB" w14:textId="77777777" w:rsidR="00000000" w:rsidRDefault="00000000">
      <w:pPr>
        <w:spacing w:before="120" w:after="280" w:afterAutospacing="1"/>
      </w:pPr>
      <w:bookmarkStart w:id="0" w:name="bookmark0"/>
      <w:r>
        <w:rPr>
          <w:lang w:val="vi-VN"/>
        </w:rPr>
        <w:lastRenderedPageBreak/>
        <w:t>Ngưng hiệu lực thi hành từ ngày 01 tháng 12 năm 2022 đến hết ngày 29 tháng 12 năm 2022 đối với Thông tư số 31/2022/TT-BTC ngày 08 tháng 06 năm</w:t>
      </w:r>
      <w:bookmarkEnd w:id="0"/>
      <w:r>
        <w:rPr>
          <w:lang w:val="vi-VN"/>
        </w:rPr>
        <w:t xml:space="preserve"> 2022 của Bộ trưởng Bộ Tài chính ban hành Danh mục hàng hóa xuất kh</w:t>
      </w:r>
      <w:r>
        <w:t>ẩ</w:t>
      </w:r>
      <w:r>
        <w:rPr>
          <w:lang w:val="vi-VN"/>
        </w:rPr>
        <w:t>u, nhập khẩu Việt Nam.</w:t>
      </w:r>
    </w:p>
    <w:p w14:paraId="761833C0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2. Điều kho</w:t>
      </w:r>
      <w:r>
        <w:rPr>
          <w:b/>
          <w:bCs/>
        </w:rPr>
        <w:t>ả</w:t>
      </w:r>
      <w:r>
        <w:rPr>
          <w:b/>
          <w:bCs/>
          <w:lang w:val="vi-VN"/>
        </w:rPr>
        <w:t>n chuyển tiếp</w:t>
      </w:r>
    </w:p>
    <w:p w14:paraId="198655B9" w14:textId="77777777" w:rsidR="00000000" w:rsidRDefault="00000000">
      <w:pPr>
        <w:spacing w:before="120" w:after="280" w:afterAutospacing="1"/>
      </w:pPr>
      <w:r>
        <w:rPr>
          <w:lang w:val="vi-VN"/>
        </w:rPr>
        <w:t>Trong thời gian ngưng hiệu lực của Thông tư, các văn bản quy phạm pháp luật và các quy định sau đây tiếp tục có hiệu lực thi hành:</w:t>
      </w:r>
    </w:p>
    <w:p w14:paraId="51934F2E" w14:textId="77777777" w:rsidR="00000000" w:rsidRDefault="00000000">
      <w:pPr>
        <w:spacing w:before="120" w:after="280" w:afterAutospacing="1"/>
      </w:pPr>
      <w:r>
        <w:rPr>
          <w:lang w:val="vi-VN"/>
        </w:rPr>
        <w:t>1. Thông tư số 65/2017/TT-BTC ngày 27/6/2017 của Bộ trưởng Bộ Tài chính ban hành Danh mục hàng hóa xuất khẩu, nhập khẩu Việt Nam;</w:t>
      </w:r>
    </w:p>
    <w:p w14:paraId="1B5181A9" w14:textId="77777777" w:rsidR="00000000" w:rsidRDefault="00000000">
      <w:pPr>
        <w:spacing w:before="120" w:after="280" w:afterAutospacing="1"/>
      </w:pPr>
      <w:r>
        <w:rPr>
          <w:lang w:val="vi-VN"/>
        </w:rPr>
        <w:t>2. Thông tư số 09/2019/TT-BTC ngày 15/02/2019 của Bộ trưởng Bộ Tài chính sửa đổi, bổ sung một số nội dung tại các Phụ lục c</w:t>
      </w:r>
      <w:r>
        <w:t>ủ</w:t>
      </w:r>
      <w:r>
        <w:rPr>
          <w:lang w:val="vi-VN"/>
        </w:rPr>
        <w:t>a Thông tư số 65/2017/TT-BTC ngày 27/6/2017 của Bộ trưởng Bộ Tài chính ban hành Danh mục hàng hóa xuất kh</w:t>
      </w:r>
      <w:r>
        <w:t>ẩ</w:t>
      </w:r>
      <w:r>
        <w:rPr>
          <w:lang w:val="vi-VN"/>
        </w:rPr>
        <w:t>u, nhập khẩu Việt Nam.</w:t>
      </w:r>
    </w:p>
    <w:p w14:paraId="20E80417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3. Tổ chức thực hiện</w:t>
      </w:r>
    </w:p>
    <w:p w14:paraId="7FF1BC12" w14:textId="77777777" w:rsidR="00000000" w:rsidRDefault="00000000">
      <w:pPr>
        <w:spacing w:before="120" w:after="280" w:afterAutospacing="1"/>
      </w:pPr>
      <w:r>
        <w:rPr>
          <w:lang w:val="vi-VN"/>
        </w:rPr>
        <w:t>Thông tư này có hiệu lực thi hành k</w:t>
      </w:r>
      <w:r>
        <w:t xml:space="preserve">ể </w:t>
      </w:r>
      <w:r>
        <w:rPr>
          <w:lang w:val="vi-VN"/>
        </w:rPr>
        <w:t>từ ngày 01 tháng 12 năm 2022./.</w:t>
      </w:r>
    </w:p>
    <w:p w14:paraId="77C8F6F2" w14:textId="77777777" w:rsidR="00000000" w:rsidRDefault="00000000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 w14:paraId="2A015A10" w14:textId="77777777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69E38" w14:textId="77777777" w:rsidR="00000000" w:rsidRDefault="00000000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br/>
              <w:t>Nơi nhận: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lang w:val="vi-VN"/>
              </w:rPr>
              <w:t xml:space="preserve">- Thủ tướng Chính phủ, các Phó TTCP; </w:t>
            </w:r>
            <w:r>
              <w:rPr>
                <w:sz w:val="16"/>
                <w:lang w:val="vi-VN"/>
              </w:rPr>
              <w:br/>
              <w:t>- Văn phòng TW Đảng và các ban của Đảng;</w:t>
            </w:r>
            <w:r>
              <w:rPr>
                <w:sz w:val="16"/>
                <w:lang w:val="vi-VN"/>
              </w:rPr>
              <w:br/>
              <w:t>- Văn phòng Quốc hội;</w:t>
            </w:r>
            <w:r>
              <w:rPr>
                <w:sz w:val="16"/>
                <w:lang w:val="vi-VN"/>
              </w:rPr>
              <w:br/>
              <w:t>- Văn phòng Chủ tịch nước;</w:t>
            </w:r>
            <w:r>
              <w:rPr>
                <w:sz w:val="16"/>
                <w:lang w:val="vi-VN"/>
              </w:rPr>
              <w:br/>
              <w:t>- Văn phòng Chính phủ;</w:t>
            </w:r>
            <w:r>
              <w:rPr>
                <w:sz w:val="16"/>
                <w:lang w:val="vi-VN"/>
              </w:rPr>
              <w:br/>
              <w:t>- Tòa án nhân dân TC;</w:t>
            </w:r>
            <w:r>
              <w:rPr>
                <w:sz w:val="16"/>
                <w:lang w:val="vi-VN"/>
              </w:rPr>
              <w:br/>
              <w:t>- Viện Kiểm sát nhân dân TC;</w:t>
            </w:r>
            <w:r>
              <w:rPr>
                <w:sz w:val="16"/>
                <w:lang w:val="vi-VN"/>
              </w:rPr>
              <w:br/>
              <w:t>- Kiểm toán Nhà nước;</w:t>
            </w:r>
            <w:r>
              <w:rPr>
                <w:sz w:val="16"/>
              </w:rPr>
              <w:br/>
            </w:r>
            <w:r>
              <w:rPr>
                <w:sz w:val="16"/>
                <w:lang w:val="vi-VN"/>
              </w:rPr>
              <w:t xml:space="preserve">- Ban Nội chính trung ương; </w:t>
            </w:r>
            <w:r>
              <w:rPr>
                <w:sz w:val="16"/>
                <w:lang w:val="vi-VN"/>
              </w:rPr>
              <w:br/>
              <w:t>- Các Bộ, cơ quan ngang Bộ, cơ quan thuộc CP;</w:t>
            </w:r>
            <w:r>
              <w:rPr>
                <w:sz w:val="16"/>
                <w:lang w:val="vi-VN"/>
              </w:rPr>
              <w:br/>
              <w:t>- UBN</w:t>
            </w:r>
            <w:r>
              <w:rPr>
                <w:sz w:val="16"/>
              </w:rPr>
              <w:t>D</w:t>
            </w:r>
            <w:r>
              <w:rPr>
                <w:sz w:val="16"/>
                <w:lang w:val="vi-VN"/>
              </w:rPr>
              <w:t xml:space="preserve"> các t</w:t>
            </w:r>
            <w:r>
              <w:rPr>
                <w:sz w:val="16"/>
              </w:rPr>
              <w:t>ỉ</w:t>
            </w:r>
            <w:r>
              <w:rPr>
                <w:sz w:val="16"/>
                <w:lang w:val="vi-VN"/>
              </w:rPr>
              <w:t>nh, t.p</w:t>
            </w:r>
            <w:r>
              <w:rPr>
                <w:sz w:val="16"/>
              </w:rPr>
              <w:t xml:space="preserve">hố </w:t>
            </w:r>
            <w:r>
              <w:rPr>
                <w:sz w:val="16"/>
                <w:lang w:val="vi-VN"/>
              </w:rPr>
              <w:t>trực thuộc TW;</w:t>
            </w:r>
            <w:r>
              <w:rPr>
                <w:sz w:val="16"/>
                <w:lang w:val="vi-VN"/>
              </w:rPr>
              <w:br/>
              <w:t>- Phòng TM và CN Việt Nam;</w:t>
            </w:r>
            <w:r>
              <w:rPr>
                <w:sz w:val="16"/>
                <w:lang w:val="vi-VN"/>
              </w:rPr>
              <w:br/>
              <w:t>- Cục Kiểm tra văn bản (Bộ Tư pháp);</w:t>
            </w:r>
            <w:r>
              <w:rPr>
                <w:sz w:val="16"/>
                <w:lang w:val="vi-VN"/>
              </w:rPr>
              <w:br/>
              <w:t>- Cục Hải quan các t</w:t>
            </w:r>
            <w:r>
              <w:rPr>
                <w:sz w:val="16"/>
              </w:rPr>
              <w:t>ỉ</w:t>
            </w:r>
            <w:r>
              <w:rPr>
                <w:sz w:val="16"/>
                <w:lang w:val="vi-VN"/>
              </w:rPr>
              <w:t>nh, thành phố;</w:t>
            </w:r>
            <w:r>
              <w:rPr>
                <w:sz w:val="16"/>
                <w:lang w:val="vi-VN"/>
              </w:rPr>
              <w:br/>
              <w:t>- Công báo;</w:t>
            </w:r>
            <w:r>
              <w:rPr>
                <w:sz w:val="16"/>
                <w:lang w:val="vi-VN"/>
              </w:rPr>
              <w:br/>
              <w:t>- Website Chính phủ;</w:t>
            </w:r>
            <w:r>
              <w:rPr>
                <w:sz w:val="16"/>
                <w:lang w:val="vi-VN"/>
              </w:rPr>
              <w:br/>
              <w:t>- Website Bộ Tài chính; Website TCH</w:t>
            </w:r>
            <w:r>
              <w:rPr>
                <w:sz w:val="16"/>
              </w:rPr>
              <w:t>Q</w:t>
            </w:r>
            <w:r>
              <w:rPr>
                <w:sz w:val="16"/>
                <w:lang w:val="vi-VN"/>
              </w:rPr>
              <w:t>;</w:t>
            </w:r>
            <w:r>
              <w:rPr>
                <w:sz w:val="16"/>
                <w:lang w:val="vi-VN"/>
              </w:rPr>
              <w:br/>
              <w:t>- Các đơn vị thuộc Bộ Tài chính;</w:t>
            </w:r>
            <w:r>
              <w:rPr>
                <w:sz w:val="16"/>
                <w:lang w:val="vi-VN"/>
              </w:rPr>
              <w:br/>
              <w:t>- Các đơn vị thuộc TCHQ;</w:t>
            </w:r>
            <w:r>
              <w:rPr>
                <w:sz w:val="16"/>
                <w:lang w:val="vi-VN"/>
              </w:rPr>
              <w:br/>
              <w:t>- Lưu: VT, TCHQ (TXNK-</w:t>
            </w:r>
            <w:r>
              <w:rPr>
                <w:sz w:val="16"/>
              </w:rPr>
              <w:t xml:space="preserve">  </w:t>
            </w:r>
            <w:r>
              <w:rPr>
                <w:sz w:val="16"/>
                <w:lang w:val="vi-VN"/>
              </w:rPr>
              <w:t>b).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0B15F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KT. BỘ TRƯỞNG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TH</w:t>
            </w:r>
            <w:r>
              <w:rPr>
                <w:b/>
                <w:bCs/>
              </w:rPr>
              <w:t xml:space="preserve">Ứ </w:t>
            </w:r>
            <w:r>
              <w:rPr>
                <w:b/>
                <w:bCs/>
                <w:lang w:val="vi-VN"/>
              </w:rPr>
              <w:t>TRƯỞNG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Nguy</w:t>
            </w:r>
            <w:r>
              <w:rPr>
                <w:b/>
                <w:bCs/>
              </w:rPr>
              <w:t>ễ</w:t>
            </w:r>
            <w:r>
              <w:rPr>
                <w:b/>
                <w:bCs/>
                <w:lang w:val="vi-VN"/>
              </w:rPr>
              <w:t>n Đức Chi</w:t>
            </w:r>
          </w:p>
        </w:tc>
      </w:tr>
    </w:tbl>
    <w:p w14:paraId="10E8D568" w14:textId="77777777" w:rsidR="0063751D" w:rsidRDefault="00000000">
      <w:pPr>
        <w:spacing w:before="120" w:after="280" w:afterAutospacing="1"/>
      </w:pPr>
      <w:r>
        <w:t> </w:t>
      </w:r>
    </w:p>
    <w:sectPr w:rsidR="0063751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SortMethod w:val="000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3DB"/>
    <w:rsid w:val="0063751D"/>
    <w:rsid w:val="0098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09A337"/>
  <w15:chartTrackingRefBased/>
  <w15:docId w15:val="{B01E596E-8325-47E9-8A06-C563F7753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VinasecoPc</dc:creator>
  <cp:keywords/>
  <cp:lastModifiedBy>VinasecoPc</cp:lastModifiedBy>
  <cp:revision>2</cp:revision>
  <cp:lastPrinted>1601-01-01T00:00:00Z</cp:lastPrinted>
  <dcterms:created xsi:type="dcterms:W3CDTF">2022-12-01T05:05:00Z</dcterms:created>
  <dcterms:modified xsi:type="dcterms:W3CDTF">2022-12-01T05:05:00Z</dcterms:modified>
</cp:coreProperties>
</file>