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5857"/>
      </w:tblGrid>
      <w:tr w:rsidR="001A59B6" w:rsidRPr="001A59B6" w14:paraId="35D5BA87" w14:textId="77777777" w:rsidTr="001A59B6">
        <w:trPr>
          <w:tblCellSpacing w:w="24" w:type="dxa"/>
        </w:trPr>
        <w:tc>
          <w:tcPr>
            <w:tcW w:w="1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45006B" w14:textId="77777777" w:rsidR="001A59B6" w:rsidRPr="001A59B6" w:rsidRDefault="001A59B6" w:rsidP="001A59B6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HỘI ĐỒNG BỘ TRƯỞNG</w:t>
            </w:r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  <w:t>********</w:t>
            </w:r>
          </w:p>
        </w:tc>
        <w:tc>
          <w:tcPr>
            <w:tcW w:w="3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2DCB1B" w14:textId="77777777" w:rsidR="001A59B6" w:rsidRPr="001A59B6" w:rsidRDefault="001A59B6" w:rsidP="001A59B6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CỘNG HOÀ XÃ HỘI CHỦ NGHĨA VIỆT NAM</w:t>
            </w:r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Độc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lập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– 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Tự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do – 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Hạnh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phúc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br/>
              <w:t>********</w:t>
            </w:r>
          </w:p>
        </w:tc>
      </w:tr>
      <w:tr w:rsidR="001A59B6" w:rsidRPr="001A59B6" w14:paraId="0BD89E0E" w14:textId="77777777" w:rsidTr="001A59B6">
        <w:trPr>
          <w:tblCellSpacing w:w="24" w:type="dxa"/>
        </w:trPr>
        <w:tc>
          <w:tcPr>
            <w:tcW w:w="180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61A036" w14:textId="77777777" w:rsidR="001A59B6" w:rsidRPr="001A59B6" w:rsidRDefault="001A59B6" w:rsidP="001A59B6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Số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: 153-HĐBT</w:t>
            </w:r>
          </w:p>
        </w:tc>
        <w:tc>
          <w:tcPr>
            <w:tcW w:w="3050" w:type="pc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4C2949" w14:textId="77777777" w:rsidR="001A59B6" w:rsidRPr="001A59B6" w:rsidRDefault="001A59B6" w:rsidP="001A59B6">
            <w:pPr>
              <w:spacing w:before="100" w:beforeAutospacing="1" w:after="120" w:line="240" w:lineRule="auto"/>
              <w:jc w:val="right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Hà</w:t>
            </w:r>
            <w:proofErr w:type="spellEnd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Nội</w:t>
            </w:r>
            <w:proofErr w:type="spellEnd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, </w:t>
            </w:r>
            <w:proofErr w:type="spellStart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ngày</w:t>
            </w:r>
            <w:proofErr w:type="spellEnd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08 </w:t>
            </w:r>
            <w:proofErr w:type="spellStart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tháng</w:t>
            </w:r>
            <w:proofErr w:type="spellEnd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9 </w:t>
            </w:r>
            <w:proofErr w:type="spellStart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>năm</w:t>
            </w:r>
            <w:proofErr w:type="spellEnd"/>
            <w:r w:rsidRPr="001A59B6">
              <w:rPr>
                <w:rFonts w:ascii="Arial" w:eastAsia="Times New Roman" w:hAnsi="Arial" w:cs="Arial"/>
                <w:i/>
                <w:iCs/>
                <w:color w:val="000000"/>
                <w:sz w:val="30"/>
                <w:szCs w:val="30"/>
              </w:rPr>
              <w:t xml:space="preserve"> 1982</w:t>
            </w:r>
          </w:p>
        </w:tc>
      </w:tr>
    </w:tbl>
    <w:p w14:paraId="10342BF9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 </w:t>
      </w:r>
    </w:p>
    <w:p w14:paraId="3C879B5E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NGHỊ ĐỊNH</w:t>
      </w:r>
    </w:p>
    <w:p w14:paraId="3960298F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CỦA HỘI ĐỒNG BỘ TRƯỞNG SỐ 153-HĐBT NGÀY 8 THÁNG 9 NĂM 1982 VỀ CHẾ ĐỘ SĨ QUAN DỰ BỊ QUÂN ĐỘI NHÂN DÂN VIỆT NAM</w:t>
      </w:r>
    </w:p>
    <w:p w14:paraId="39272692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HỘI ĐỒNG BỘ TRƯỞNG</w:t>
      </w:r>
    </w:p>
    <w:p w14:paraId="2DFF7DCA" w14:textId="4DE369F1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Căn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cứ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Luật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Hội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đồng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ngày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4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7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1981;</w:t>
      </w:r>
      <w:r w:rsidRPr="001A59B6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Căn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cứ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Luật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 </w:t>
      </w:r>
      <w:proofErr w:type="spellStart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>Quân</w:t>
      </w:r>
      <w:proofErr w:type="spellEnd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>đội</w:t>
      </w:r>
      <w:proofErr w:type="spellEnd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>nhân</w:t>
      </w:r>
      <w:proofErr w:type="spellEnd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>dân</w:t>
      </w:r>
      <w:proofErr w:type="spellEnd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>Việt</w:t>
      </w:r>
      <w:proofErr w:type="spellEnd"/>
      <w:r w:rsidRPr="001A59B6">
        <w:rPr>
          <w:rFonts w:ascii="Arial" w:eastAsia="Times New Roman" w:hAnsi="Arial" w:cs="Arial"/>
          <w:i/>
          <w:iCs/>
          <w:color w:val="1275CC"/>
          <w:sz w:val="30"/>
          <w:szCs w:val="30"/>
          <w:u w:val="single"/>
        </w:rPr>
        <w:t xml:space="preserve"> Nam</w:t>
      </w:r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 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ngày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30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12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1981;</w:t>
      </w:r>
      <w:r w:rsidRPr="001A59B6">
        <w:rPr>
          <w:rFonts w:ascii="Arial" w:eastAsia="Times New Roman" w:hAnsi="Arial" w:cs="Arial"/>
          <w:color w:val="000000"/>
          <w:sz w:val="30"/>
          <w:szCs w:val="30"/>
        </w:rPr>
        <w:br/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Căn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cứ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Luật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dân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Việt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Nam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ngày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30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12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1981;</w:t>
      </w:r>
      <w:r w:rsidRPr="001A59B6">
        <w:rPr>
          <w:rFonts w:ascii="Arial" w:eastAsia="Times New Roman" w:hAnsi="Arial" w:cs="Arial"/>
          <w:color w:val="000000"/>
          <w:sz w:val="30"/>
          <w:szCs w:val="30"/>
        </w:rPr>
        <w:br/>
      </w:r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Theo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đề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nghị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i/>
          <w:iCs/>
          <w:color w:val="000000"/>
          <w:sz w:val="30"/>
          <w:szCs w:val="30"/>
        </w:rPr>
        <w:t>,</w:t>
      </w:r>
    </w:p>
    <w:p w14:paraId="3D89848D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NGHỊ </w:t>
      </w:r>
      <w:proofErr w:type="gram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 :</w:t>
      </w:r>
      <w:proofErr w:type="gramEnd"/>
    </w:p>
    <w:p w14:paraId="5FAEEAB7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1:</w:t>
      </w:r>
    </w:p>
    <w:p w14:paraId="546F51FC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SĨ QUAN DỰ BỊ VÀ VIỆC ĐÀO TẠO BỒI DƯỠNG SĨ QUAN DỰ BỊ</w:t>
      </w:r>
    </w:p>
    <w:p w14:paraId="4DA912C7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Xét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xếp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người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6A423B26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09E41F5D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lastRenderedPageBreak/>
        <w:t xml:space="preserve">– Nam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tốt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đẳng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5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ít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nhất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0F93DE3F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ngoài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tuổi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cần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3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6C1D7DA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dung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đối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tượng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nói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soạn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5828C2E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nay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trường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đẳng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kiểm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xét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tốt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C488D37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Theo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thống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nhất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giữa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nam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phù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hợp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yêu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cẩu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kỹ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thuật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kỹ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thuật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môn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dạy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65E3BEA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3.-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khoa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trường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,</w:t>
      </w:r>
      <w:proofErr w:type="gram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đẳng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cử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ở khoa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cần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282D5E0B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4.-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một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hai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một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lần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Trường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hợp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cần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kéo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dài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thêm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6F7DA442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tịch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Ủy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2137721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hai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chỗ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thoát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xuất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FCE1044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2:</w:t>
      </w:r>
    </w:p>
    <w:p w14:paraId="1F52F465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ĐĂNG KÝ QUẢN LÝ SĨ QUAN DỰ BỊ</w:t>
      </w:r>
    </w:p>
    <w:p w14:paraId="4C768B8D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lastRenderedPageBreak/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5.-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cư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trú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Mỗi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chuyển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cư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trú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15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đem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giấy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khẩu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sắp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xếp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AD47749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6.-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thay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đổi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nghiệp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khoẻ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10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đến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sung.</w:t>
      </w:r>
    </w:p>
    <w:p w14:paraId="43F12E45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7.-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Tuỳ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lượng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chặt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từng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người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tiếp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bồi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dưỡng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nâng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bảo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đảm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yêu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cầu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1688E58F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8.-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ra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ngoài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học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1CDB6649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trở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nộp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giấy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xin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27EFAF00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–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Dưới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gửi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giấy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cư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trú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1195A7C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9.-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hai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tuổi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khoẻ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14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Việt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Nam.</w:t>
      </w:r>
    </w:p>
    <w:p w14:paraId="34B10577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10.-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thống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kê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cư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trú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thống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nhất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062B6579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11.-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tù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an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biết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hồi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lastRenderedPageBreak/>
        <w:t>giấy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xoá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danh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tù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tuỳ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trường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hợp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xét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9E0921F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12.-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từ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trần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ban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phường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biết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xoá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7528DD2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3:</w:t>
      </w:r>
    </w:p>
    <w:p w14:paraId="451793F8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GỌI SĨ QUAN DỰ BỊ RA PHỤC VỤ TẠI NGŨ.</w:t>
      </w:r>
    </w:p>
    <w:p w14:paraId="34947367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13.-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yêu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cầu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chỉ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tiêu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qua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3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phối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tiếp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giữ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một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số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sở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cầu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lâu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dài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E1BF5E2" w14:textId="5C6EFDBA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14.-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khẩn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chiến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sẵn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sàng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>Hội</w:t>
      </w:r>
      <w:proofErr w:type="spellEnd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>đồng</w:t>
      </w:r>
      <w:proofErr w:type="spellEnd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>bộ</w:t>
      </w:r>
      <w:proofErr w:type="spellEnd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1275CC"/>
          <w:sz w:val="30"/>
          <w:szCs w:val="30"/>
          <w:u w:val="single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51B4B32C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15.-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mặt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đúng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giấy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1C4A712F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16.-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cư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trú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thuận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chịu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cua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6EE4D583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17.-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miễn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đối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chiến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tịch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5BE000B1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4:</w:t>
      </w:r>
    </w:p>
    <w:p w14:paraId="3B877B1D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NGHĨA VỤ VÀ QUYỀN LỢI CỦA SĨ QUAN DỰ BỊ</w:t>
      </w:r>
    </w:p>
    <w:p w14:paraId="578AE831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lastRenderedPageBreak/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18.-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nghĩa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06FA85C8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1.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ngừng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nâng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phẩm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chất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,</w:t>
      </w:r>
      <w:proofErr w:type="gram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sẵn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sàng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53EB054C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2.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nghiêm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chỉnh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tích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tham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cố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xây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lượng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truyền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giáo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nghĩa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bảo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vệ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thanh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A3724EC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3.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nghiêm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chỉnh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gọi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0907CA7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4.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đầy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tham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khoá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đạt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tốt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20AE384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19.-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66C7186A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1.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hoàn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tốt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phạm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kỷ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luật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xét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bậc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F009610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2.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bậc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phù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hợp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bậc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giữ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trọng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kinh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Đảng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thăng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xứng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5489D1CE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3.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mượn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ăn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phẩm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:</w:t>
      </w:r>
    </w:p>
    <w:p w14:paraId="4642BE8D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a)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khoản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phúc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phí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tàu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xe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09950496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b)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hợp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xã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người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lao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tiền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tàu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xe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một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khoản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lastRenderedPageBreak/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tính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lao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nghĩa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bản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đình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lao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nghĩa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trừ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sau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.</w:t>
      </w:r>
      <w:proofErr w:type="gramEnd"/>
    </w:p>
    <w:p w14:paraId="34DDAE68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4.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tích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khen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ốm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đau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sẽ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sở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y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gần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nhất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tai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rủi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ro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chế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chính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đối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3778A34C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5.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được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tham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hoạt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văn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thao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câu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thư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của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câu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riêng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2A1D7A72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20.-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thời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gian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tập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huấn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luyện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phục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proofErr w:type="gram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,</w:t>
      </w:r>
      <w:proofErr w:type="gram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phạm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khuyết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điểm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xử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phạt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theo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lệnh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;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nếu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phạm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thì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Toà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án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xét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xử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47EF271A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5:</w:t>
      </w:r>
    </w:p>
    <w:p w14:paraId="3CBBF96C" w14:textId="77777777" w:rsidR="001A59B6" w:rsidRPr="001A59B6" w:rsidRDefault="001A59B6" w:rsidP="001A59B6">
      <w:pPr>
        <w:spacing w:before="100" w:beforeAutospacing="1" w:after="12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 KHOẢN CUỐI CÙNG</w:t>
      </w:r>
    </w:p>
    <w:p w14:paraId="125C6A12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21.-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hiện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do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1, ban 1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hoặc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tổ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chức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ở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đảm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chuyên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công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trong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lượng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trang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E5DF31A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22.-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Bãi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bỏ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những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đây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về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sĩ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dự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với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5441FFB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23.-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Quốc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phòng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hướng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dẫn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cụ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thể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việc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này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518BE3FB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Điều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24.- 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Ủy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nước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cơ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quan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khác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Hội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đồng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Bộ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trưởng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Chủ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tịch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Uỷ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ban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dân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tỉnh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,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phố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trực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thuộc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Trung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và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cấp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đương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có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trách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nhiệm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thi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hành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Nghị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định</w:t>
      </w:r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 xml:space="preserve"> </w:t>
      </w:r>
      <w:proofErr w:type="spellStart"/>
      <w:r w:rsidRPr="001A59B6">
        <w:rPr>
          <w:rFonts w:ascii="Arial" w:eastAsia="Times New Roman" w:hAnsi="Arial" w:cs="Arial"/>
          <w:color w:val="000000"/>
          <w:sz w:val="30"/>
          <w:szCs w:val="30"/>
        </w:rPr>
        <w:t>này</w:t>
      </w:r>
      <w:bookmarkStart w:id="0" w:name="_GoBack"/>
      <w:bookmarkEnd w:id="0"/>
      <w:proofErr w:type="spellEnd"/>
      <w:r w:rsidRPr="001A59B6">
        <w:rPr>
          <w:rFonts w:ascii="Arial" w:eastAsia="Times New Roman" w:hAnsi="Arial" w:cs="Arial"/>
          <w:color w:val="000000"/>
          <w:sz w:val="30"/>
          <w:szCs w:val="30"/>
        </w:rPr>
        <w:t>.</w:t>
      </w:r>
    </w:p>
    <w:p w14:paraId="7EB60180" w14:textId="77777777" w:rsidR="001A59B6" w:rsidRPr="001A59B6" w:rsidRDefault="001A59B6" w:rsidP="001A59B6">
      <w:pPr>
        <w:spacing w:before="100" w:beforeAutospacing="1" w:after="12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1A59B6">
        <w:rPr>
          <w:rFonts w:ascii="Arial" w:eastAsia="Times New Roman" w:hAnsi="Arial" w:cs="Arial"/>
          <w:color w:val="000000"/>
          <w:sz w:val="30"/>
          <w:szCs w:val="30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1A59B6" w:rsidRPr="001A59B6" w14:paraId="31479B51" w14:textId="77777777" w:rsidTr="001A59B6">
        <w:tc>
          <w:tcPr>
            <w:tcW w:w="424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8C3B" w14:textId="77777777" w:rsidR="001A59B6" w:rsidRPr="001A59B6" w:rsidRDefault="001A59B6" w:rsidP="001A59B6">
            <w:pPr>
              <w:spacing w:before="100" w:beforeAutospacing="1" w:after="12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427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4694E" w14:textId="77777777" w:rsidR="001A59B6" w:rsidRPr="001A59B6" w:rsidRDefault="001A59B6" w:rsidP="001A59B6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Tố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Hữu</w:t>
            </w:r>
            <w:proofErr w:type="spellEnd"/>
          </w:p>
          <w:p w14:paraId="4228C62E" w14:textId="77777777" w:rsidR="001A59B6" w:rsidRPr="001A59B6" w:rsidRDefault="001A59B6" w:rsidP="001A59B6">
            <w:pPr>
              <w:spacing w:before="100" w:beforeAutospacing="1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(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Đã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ký</w:t>
            </w:r>
            <w:proofErr w:type="spellEnd"/>
            <w:r w:rsidRPr="001A59B6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)</w:t>
            </w:r>
          </w:p>
        </w:tc>
      </w:tr>
    </w:tbl>
    <w:p w14:paraId="5CCA7CAA" w14:textId="77777777" w:rsidR="00B75D57" w:rsidRDefault="00B75D57"/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B6"/>
    <w:rsid w:val="001A59B6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17A4C"/>
  <w15:chartTrackingRefBased/>
  <w15:docId w15:val="{A002799D-99BD-4301-B5BC-B402DC27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p-wp-de12874">
    <w:name w:val="amp-wp-de12874"/>
    <w:basedOn w:val="Normal"/>
    <w:rsid w:val="001A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p-wp-ae92b61">
    <w:name w:val="amp-wp-ae92b61"/>
    <w:basedOn w:val="Normal"/>
    <w:rsid w:val="001A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p-wp-e528746">
    <w:name w:val="amp-wp-e528746"/>
    <w:basedOn w:val="DefaultParagraphFont"/>
    <w:rsid w:val="001A59B6"/>
  </w:style>
  <w:style w:type="paragraph" w:customStyle="1" w:styleId="amp-wp-6a0607e">
    <w:name w:val="amp-wp-6a0607e"/>
    <w:basedOn w:val="Normal"/>
    <w:rsid w:val="001A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A59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1355</Words>
  <Characters>7730</Characters>
  <Application>Microsoft Office Word</Application>
  <DocSecurity>0</DocSecurity>
  <Lines>64</Lines>
  <Paragraphs>18</Paragraphs>
  <ScaleCrop>false</ScaleCrop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2022-07-20T01:42:00Z</dcterms:created>
  <dcterms:modified xsi:type="dcterms:W3CDTF">2022-07-20T01:47:00Z</dcterms:modified>
</cp:coreProperties>
</file>