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5886"/>
      </w:tblGrid>
      <w:tr w:rsidR="00813683" w:rsidRPr="00813683" w14:paraId="55292AFE" w14:textId="77777777" w:rsidTr="00813683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3FC0D6" w14:textId="77777777" w:rsidR="00813683" w:rsidRPr="00813683" w:rsidRDefault="00813683" w:rsidP="00813683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HỘI ĐỒNG BỘ TRƯỞNG</w:t>
            </w:r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D5CD12" w14:textId="77777777" w:rsidR="00813683" w:rsidRPr="00813683" w:rsidRDefault="00813683" w:rsidP="00813683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br/>
              <w:t>********</w:t>
            </w:r>
          </w:p>
        </w:tc>
      </w:tr>
      <w:tr w:rsidR="00813683" w:rsidRPr="00813683" w14:paraId="6D0CCE2C" w14:textId="77777777" w:rsidTr="00813683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7632B11" w14:textId="77777777" w:rsidR="00813683" w:rsidRPr="00813683" w:rsidRDefault="00813683" w:rsidP="00813683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81368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Số</w:t>
            </w:r>
            <w:proofErr w:type="spellEnd"/>
            <w:r w:rsidRPr="0081368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: 32-HĐBT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77E805" w14:textId="77777777" w:rsidR="00813683" w:rsidRPr="00813683" w:rsidRDefault="00813683" w:rsidP="00813683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81368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Hà</w:t>
            </w:r>
            <w:proofErr w:type="spellEnd"/>
            <w:r w:rsidRPr="0081368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368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Nội</w:t>
            </w:r>
            <w:proofErr w:type="spellEnd"/>
            <w:r w:rsidRPr="0081368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1368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81368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 14 </w:t>
            </w:r>
            <w:proofErr w:type="spellStart"/>
            <w:r w:rsidRPr="0081368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81368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 4 </w:t>
            </w:r>
            <w:proofErr w:type="spellStart"/>
            <w:r w:rsidRPr="0081368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81368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 1983</w:t>
            </w:r>
          </w:p>
        </w:tc>
      </w:tr>
    </w:tbl>
    <w:p w14:paraId="1F4E5D55" w14:textId="77777777" w:rsidR="00813683" w:rsidRPr="00813683" w:rsidRDefault="00813683" w:rsidP="0081368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81368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1C5F365C" w14:textId="77777777" w:rsidR="00813683" w:rsidRPr="00813683" w:rsidRDefault="00813683" w:rsidP="0081368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bookmarkStart w:id="0" w:name="loai_1"/>
      <w:r w:rsidRPr="00813683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0BB52EE8" w14:textId="77777777" w:rsidR="00813683" w:rsidRPr="00813683" w:rsidRDefault="00813683" w:rsidP="0081368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bookmarkStart w:id="1" w:name="loai_1_name"/>
      <w:r w:rsidRPr="00813683">
        <w:rPr>
          <w:rFonts w:ascii="Arial" w:eastAsia="Times New Roman" w:hAnsi="Arial" w:cs="Arial"/>
          <w:color w:val="000000"/>
          <w:sz w:val="26"/>
          <w:szCs w:val="26"/>
        </w:rPr>
        <w:t>CỦA HỘI ĐỒNG BỘ TRƯỞNG SỐ 32-HĐBT NGÀY 14-4-1983 BỔ SUNG ĐIỀU 19 CỦA NGHỊ ĐỊNH SỐ 201-CP NGÀY 26-5-1981 VỀ QUẢN LÝ ĐỊNH MỨC KINH TẾ KỸ THUẬT</w:t>
      </w:r>
      <w:bookmarkEnd w:id="1"/>
    </w:p>
    <w:p w14:paraId="40D538B2" w14:textId="77777777" w:rsidR="00813683" w:rsidRPr="00813683" w:rsidRDefault="00813683" w:rsidP="0081368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813683">
        <w:rPr>
          <w:rFonts w:ascii="Arial" w:eastAsia="Times New Roman" w:hAnsi="Arial" w:cs="Arial"/>
          <w:b/>
          <w:bCs/>
          <w:color w:val="000000"/>
          <w:sz w:val="24"/>
          <w:szCs w:val="24"/>
        </w:rPr>
        <w:t>HỘI ĐỒNG BỘ TRƯỞNG</w:t>
      </w:r>
    </w:p>
    <w:p w14:paraId="4EECEA44" w14:textId="77777777" w:rsidR="00813683" w:rsidRPr="00813683" w:rsidRDefault="00813683" w:rsidP="0081368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Để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tăng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cường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chỉ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đạo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công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tác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xây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dựng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và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quản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lý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các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định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mức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về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lao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động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>;</w:t>
      </w:r>
      <w:r w:rsidRPr="00813683">
        <w:rPr>
          <w:rFonts w:ascii="Arial" w:eastAsia="Times New Roman" w:hAnsi="Arial" w:cs="Arial"/>
          <w:color w:val="000000"/>
          <w:sz w:val="26"/>
          <w:szCs w:val="26"/>
        </w:rPr>
        <w:br/>
        <w:t xml:space="preserve">Theo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đề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nghị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của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bộ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trưởng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Bộ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Lao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động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và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chủ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nhiệm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Uỷ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ban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Kế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hoạch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Nhà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nước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>,</w:t>
      </w:r>
    </w:p>
    <w:p w14:paraId="71E4183A" w14:textId="77777777" w:rsidR="00813683" w:rsidRPr="00813683" w:rsidRDefault="00813683" w:rsidP="0081368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81368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NGHỊ </w:t>
      </w:r>
      <w:proofErr w:type="gramStart"/>
      <w:r w:rsidRPr="00813683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ĐỊNH :</w:t>
      </w:r>
      <w:proofErr w:type="gramEnd"/>
    </w:p>
    <w:p w14:paraId="56826DFE" w14:textId="77777777" w:rsidR="00813683" w:rsidRPr="00813683" w:rsidRDefault="00813683" w:rsidP="0081368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bookmarkStart w:id="2" w:name="dieu_1"/>
      <w:proofErr w:type="spellStart"/>
      <w:r w:rsidRPr="00813683">
        <w:rPr>
          <w:rFonts w:ascii="Arial" w:eastAsia="Times New Roman" w:hAnsi="Arial" w:cs="Arial"/>
          <w:b/>
          <w:bCs/>
          <w:color w:val="000000"/>
          <w:sz w:val="26"/>
          <w:szCs w:val="26"/>
        </w:rPr>
        <w:t>Điều</w:t>
      </w:r>
      <w:proofErr w:type="spellEnd"/>
      <w:r w:rsidRPr="0081368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1. -</w:t>
      </w:r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 Nay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bổ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sung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điều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19,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chương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V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nghị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định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số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201-CP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ngày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26-5-1981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của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Hội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đồng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Chính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phủ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về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quản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lý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định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mức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kinh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tế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-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kỹ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thuật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như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sau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>:</w:t>
      </w:r>
      <w:bookmarkEnd w:id="2"/>
    </w:p>
    <w:p w14:paraId="64C28C1A" w14:textId="77777777" w:rsidR="00813683" w:rsidRPr="00813683" w:rsidRDefault="00813683" w:rsidP="0081368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Việc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chỉ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đạo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công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tác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xây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dựng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và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quản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lý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định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mức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về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lao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động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vẫn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tiếp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tục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thi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hành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theo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những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quy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định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của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quyết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định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số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133-CP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ngày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3-8-1976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của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Hội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đồng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Chính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phủ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14:paraId="1685B1B1" w14:textId="77777777" w:rsidR="00813683" w:rsidRPr="00813683" w:rsidRDefault="00813683" w:rsidP="0081368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bookmarkStart w:id="3" w:name="dieu_2"/>
      <w:proofErr w:type="spellStart"/>
      <w:r w:rsidRPr="00813683">
        <w:rPr>
          <w:rFonts w:ascii="Arial" w:eastAsia="Times New Roman" w:hAnsi="Arial" w:cs="Arial"/>
          <w:b/>
          <w:bCs/>
          <w:color w:val="000000"/>
          <w:sz w:val="26"/>
          <w:szCs w:val="26"/>
        </w:rPr>
        <w:t>Điều</w:t>
      </w:r>
      <w:proofErr w:type="spellEnd"/>
      <w:r w:rsidRPr="0081368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2. -</w:t>
      </w:r>
      <w:r w:rsidRPr="00813683">
        <w:rPr>
          <w:rFonts w:ascii="Arial" w:eastAsia="Times New Roman" w:hAnsi="Arial" w:cs="Arial"/>
          <w:color w:val="000000"/>
          <w:sz w:val="26"/>
          <w:szCs w:val="26"/>
        </w:rPr>
        <w:t> 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Bộ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Lao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động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có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nhiệm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vụ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chủ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trì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phối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hợp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với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các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cơ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quan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chức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năng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của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Nhà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nước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có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liên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quan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để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hướng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dẫn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phương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pháp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nghiệp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vụ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về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định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mức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lao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động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xét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duyệt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và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ban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hành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các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định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mức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lao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động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liên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ngành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đồng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thời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kiểm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tra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và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quản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lý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chặt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chẽ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công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tác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này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trong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cả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nước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tạo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điều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kiện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thuận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lợi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cho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công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tác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kế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hoạch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hoá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>.</w:t>
      </w:r>
      <w:bookmarkEnd w:id="3"/>
    </w:p>
    <w:p w14:paraId="21FE8A86" w14:textId="77777777" w:rsidR="00813683" w:rsidRPr="00813683" w:rsidRDefault="00813683" w:rsidP="0081368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bookmarkStart w:id="4" w:name="dieu_3"/>
      <w:proofErr w:type="spellStart"/>
      <w:r w:rsidRPr="00813683">
        <w:rPr>
          <w:rFonts w:ascii="Arial" w:eastAsia="Times New Roman" w:hAnsi="Arial" w:cs="Arial"/>
          <w:b/>
          <w:bCs/>
          <w:color w:val="000000"/>
          <w:sz w:val="26"/>
          <w:szCs w:val="26"/>
        </w:rPr>
        <w:t>Điều</w:t>
      </w:r>
      <w:proofErr w:type="spellEnd"/>
      <w:r w:rsidRPr="0081368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3. -</w:t>
      </w:r>
      <w:r w:rsidRPr="00813683">
        <w:rPr>
          <w:rFonts w:ascii="Arial" w:eastAsia="Times New Roman" w:hAnsi="Arial" w:cs="Arial"/>
          <w:color w:val="000000"/>
          <w:sz w:val="26"/>
          <w:szCs w:val="26"/>
        </w:rPr>
        <w:t> 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Các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Bộ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trưởng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chủ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nhiệm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các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Uỷ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ban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Nhà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nước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thủ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trưởng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các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cơ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quan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khác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thuộc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Hội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đồng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bộ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trưởng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chủ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tịch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Uỷ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ban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nhân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các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tỉnh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thành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phố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và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đặc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khu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trực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thuộc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trung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ương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chịu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trách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nhiệm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thi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hành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nghị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định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13683">
        <w:rPr>
          <w:rFonts w:ascii="Arial" w:eastAsia="Times New Roman" w:hAnsi="Arial" w:cs="Arial"/>
          <w:color w:val="000000"/>
          <w:sz w:val="26"/>
          <w:szCs w:val="26"/>
        </w:rPr>
        <w:t>này</w:t>
      </w:r>
      <w:proofErr w:type="spellEnd"/>
      <w:r w:rsidRPr="00813683">
        <w:rPr>
          <w:rFonts w:ascii="Arial" w:eastAsia="Times New Roman" w:hAnsi="Arial" w:cs="Arial"/>
          <w:color w:val="000000"/>
          <w:sz w:val="26"/>
          <w:szCs w:val="26"/>
        </w:rPr>
        <w:t>.</w:t>
      </w:r>
      <w:bookmarkEnd w:id="4"/>
    </w:p>
    <w:p w14:paraId="3D150B80" w14:textId="77777777" w:rsidR="00813683" w:rsidRPr="00813683" w:rsidRDefault="00813683" w:rsidP="0081368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13683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278"/>
      </w:tblGrid>
      <w:tr w:rsidR="00813683" w:rsidRPr="00813683" w14:paraId="0739B04D" w14:textId="77777777" w:rsidTr="00813683">
        <w:tc>
          <w:tcPr>
            <w:tcW w:w="4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F8A7" w14:textId="77777777" w:rsidR="00813683" w:rsidRPr="00813683" w:rsidRDefault="00813683" w:rsidP="00813683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81368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FFA0" w14:textId="77777777" w:rsidR="00813683" w:rsidRPr="00813683" w:rsidRDefault="00813683" w:rsidP="00813683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Đỗ</w:t>
            </w:r>
            <w:proofErr w:type="spellEnd"/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368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Mười</w:t>
            </w:r>
            <w:proofErr w:type="spellEnd"/>
          </w:p>
          <w:p w14:paraId="792478C2" w14:textId="77777777" w:rsidR="00813683" w:rsidRPr="00813683" w:rsidRDefault="00813683" w:rsidP="00813683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81368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(</w:t>
            </w:r>
            <w:proofErr w:type="spellStart"/>
            <w:r w:rsidRPr="0081368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Đã</w:t>
            </w:r>
            <w:proofErr w:type="spellEnd"/>
            <w:r w:rsidRPr="0081368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368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ký</w:t>
            </w:r>
            <w:proofErr w:type="spellEnd"/>
            <w:r w:rsidRPr="0081368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)</w:t>
            </w:r>
          </w:p>
        </w:tc>
      </w:tr>
    </w:tbl>
    <w:p w14:paraId="1F03B8C6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83"/>
    <w:rsid w:val="00813683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79340"/>
  <w15:chartTrackingRefBased/>
  <w15:docId w15:val="{B72572B6-7DF4-4FC0-A5AE-FF5E34C4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3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2022-07-20T02:06:00Z</dcterms:created>
  <dcterms:modified xsi:type="dcterms:W3CDTF">2022-07-20T02:07:00Z</dcterms:modified>
</cp:coreProperties>
</file>