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DA2E4" w14:textId="77777777" w:rsidR="006A211D" w:rsidRPr="006A211D" w:rsidRDefault="006A211D" w:rsidP="006A211D">
      <w:pPr>
        <w:spacing w:before="120" w:after="320" w:line="240" w:lineRule="auto"/>
        <w:jc w:val="center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6A211D">
        <w:rPr>
          <w:rFonts w:ascii="Arial" w:eastAsia="Times New Roman" w:hAnsi="Arial" w:cs="Arial"/>
          <w:b/>
          <w:bCs/>
          <w:color w:val="222222"/>
          <w:spacing w:val="24"/>
          <w:sz w:val="20"/>
          <w:szCs w:val="20"/>
        </w:rPr>
        <w:t>NGHỊ ĐỊNH</w:t>
      </w:r>
    </w:p>
    <w:p w14:paraId="61EEF78B" w14:textId="77777777" w:rsidR="006A211D" w:rsidRPr="006A211D" w:rsidRDefault="006A211D" w:rsidP="006A21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6A211D">
        <w:rPr>
          <w:rFonts w:ascii="Arial" w:eastAsia="Times New Roman" w:hAnsi="Arial" w:cs="Arial"/>
          <w:b/>
          <w:bCs/>
          <w:color w:val="222222"/>
          <w:spacing w:val="24"/>
          <w:sz w:val="20"/>
          <w:szCs w:val="20"/>
        </w:rPr>
        <w:t>CỦA HỘI ĐỒNG BỘ TRƯỞNG SỐ 34-HĐBT NGÀY 1-3-1984 QUY ĐỊNH CHỨC NĂNG, NHIỆM VỤ, QUYỀN HẠN VÀ TỔ CHỨC CỦA</w:t>
      </w:r>
      <w:r w:rsidRPr="006A211D">
        <w:rPr>
          <w:rFonts w:ascii="Arial" w:eastAsia="Times New Roman" w:hAnsi="Arial" w:cs="Arial"/>
          <w:b/>
          <w:bCs/>
          <w:color w:val="222222"/>
          <w:spacing w:val="24"/>
          <w:sz w:val="20"/>
          <w:szCs w:val="20"/>
        </w:rPr>
        <w:br/>
        <w:t>CỤC LƯU TRỮ NHÀ NƯỚC.</w:t>
      </w:r>
    </w:p>
    <w:p w14:paraId="279B6CEF" w14:textId="77777777" w:rsidR="006A211D" w:rsidRPr="006A211D" w:rsidRDefault="006A211D" w:rsidP="006A2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 </w:t>
      </w:r>
    </w:p>
    <w:p w14:paraId="10AED3B6" w14:textId="77777777" w:rsidR="006A211D" w:rsidRPr="006A211D" w:rsidRDefault="006A211D" w:rsidP="006A21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6A211D">
        <w:rPr>
          <w:rFonts w:ascii="Arial" w:eastAsia="Times New Roman" w:hAnsi="Arial" w:cs="Arial"/>
          <w:color w:val="222222"/>
          <w:spacing w:val="24"/>
          <w:sz w:val="20"/>
          <w:szCs w:val="20"/>
        </w:rPr>
        <w:t>HỘI ĐỒNG BỘ TRƯỞNG</w:t>
      </w:r>
    </w:p>
    <w:p w14:paraId="1DFC9A27" w14:textId="77777777" w:rsidR="006A211D" w:rsidRPr="006A211D" w:rsidRDefault="006A211D" w:rsidP="006A2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 </w:t>
      </w:r>
    </w:p>
    <w:p w14:paraId="7EB28402" w14:textId="77777777" w:rsidR="006A211D" w:rsidRPr="006A211D" w:rsidRDefault="006A211D" w:rsidP="006A2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proofErr w:type="spellStart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Căn</w:t>
      </w:r>
      <w:proofErr w:type="spellEnd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cứ</w:t>
      </w:r>
      <w:proofErr w:type="spellEnd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Luật</w:t>
      </w:r>
      <w:proofErr w:type="spellEnd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Tổ</w:t>
      </w:r>
      <w:proofErr w:type="spellEnd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chức</w:t>
      </w:r>
      <w:proofErr w:type="spellEnd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Hội</w:t>
      </w:r>
      <w:proofErr w:type="spellEnd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đồng</w:t>
      </w:r>
      <w:proofErr w:type="spellEnd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Bộ</w:t>
      </w:r>
      <w:proofErr w:type="spellEnd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trưởng</w:t>
      </w:r>
      <w:proofErr w:type="spellEnd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ngày</w:t>
      </w:r>
      <w:proofErr w:type="spellEnd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4-7-1981;</w:t>
      </w:r>
    </w:p>
    <w:p w14:paraId="217F499F" w14:textId="77777777" w:rsidR="006A211D" w:rsidRPr="006A211D" w:rsidRDefault="006A211D" w:rsidP="006A2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proofErr w:type="spellStart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Căn</w:t>
      </w:r>
      <w:proofErr w:type="spellEnd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cứ</w:t>
      </w:r>
      <w:proofErr w:type="spellEnd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Điều</w:t>
      </w:r>
      <w:proofErr w:type="spellEnd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14 </w:t>
      </w:r>
      <w:proofErr w:type="spellStart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và</w:t>
      </w:r>
      <w:proofErr w:type="spellEnd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16 </w:t>
      </w:r>
      <w:proofErr w:type="spellStart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của</w:t>
      </w:r>
      <w:proofErr w:type="spellEnd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chương</w:t>
      </w:r>
      <w:proofErr w:type="spellEnd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III </w:t>
      </w:r>
      <w:proofErr w:type="spellStart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Pháp</w:t>
      </w:r>
      <w:proofErr w:type="spellEnd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lệnh</w:t>
      </w:r>
      <w:proofErr w:type="spellEnd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bảo</w:t>
      </w:r>
      <w:proofErr w:type="spellEnd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vệ</w:t>
      </w:r>
      <w:proofErr w:type="spellEnd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tài</w:t>
      </w:r>
      <w:proofErr w:type="spellEnd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liệu</w:t>
      </w:r>
      <w:proofErr w:type="spellEnd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lữu</w:t>
      </w:r>
      <w:proofErr w:type="spellEnd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trữ</w:t>
      </w:r>
      <w:proofErr w:type="spellEnd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quốc</w:t>
      </w:r>
      <w:proofErr w:type="spellEnd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gia</w:t>
      </w:r>
      <w:proofErr w:type="spellEnd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ngày</w:t>
      </w:r>
      <w:proofErr w:type="spellEnd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30 </w:t>
      </w:r>
      <w:proofErr w:type="spellStart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tháng</w:t>
      </w:r>
      <w:proofErr w:type="spellEnd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11 </w:t>
      </w:r>
      <w:proofErr w:type="spellStart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năm</w:t>
      </w:r>
      <w:proofErr w:type="spellEnd"/>
      <w:r w:rsidRPr="006A211D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1982,</w:t>
      </w:r>
    </w:p>
    <w:p w14:paraId="2B382D35" w14:textId="77777777" w:rsidR="006A211D" w:rsidRPr="006A211D" w:rsidRDefault="006A211D" w:rsidP="006A211D">
      <w:pPr>
        <w:spacing w:before="360" w:line="240" w:lineRule="auto"/>
        <w:jc w:val="center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6A211D">
        <w:rPr>
          <w:rFonts w:ascii="Arial" w:eastAsia="Times New Roman" w:hAnsi="Arial" w:cs="Arial"/>
          <w:b/>
          <w:bCs/>
          <w:color w:val="222222"/>
          <w:spacing w:val="24"/>
          <w:sz w:val="20"/>
          <w:szCs w:val="20"/>
        </w:rPr>
        <w:t>NGHỊ ĐỊNH</w:t>
      </w:r>
    </w:p>
    <w:p w14:paraId="252B18EE" w14:textId="77777777" w:rsidR="006A211D" w:rsidRPr="006A211D" w:rsidRDefault="006A211D" w:rsidP="006A2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 </w:t>
      </w:r>
    </w:p>
    <w:p w14:paraId="016831AA" w14:textId="77777777" w:rsidR="006A211D" w:rsidRPr="006A211D" w:rsidRDefault="006A211D" w:rsidP="006A211D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proofErr w:type="spellStart"/>
      <w:r w:rsidRPr="006A211D">
        <w:rPr>
          <w:rFonts w:ascii="Times New Roman" w:eastAsia="Times New Roman" w:hAnsi="Times New Roman" w:cs="Times New Roman"/>
          <w:b/>
          <w:bCs/>
          <w:color w:val="222222"/>
          <w:spacing w:val="24"/>
          <w:sz w:val="20"/>
          <w:szCs w:val="20"/>
        </w:rPr>
        <w:t>Điều</w:t>
      </w:r>
      <w:proofErr w:type="spellEnd"/>
      <w:r w:rsidRPr="006A211D">
        <w:rPr>
          <w:rFonts w:ascii="Times New Roman" w:eastAsia="Times New Roman" w:hAnsi="Times New Roman" w:cs="Times New Roman"/>
          <w:b/>
          <w:bCs/>
          <w:color w:val="222222"/>
          <w:spacing w:val="24"/>
          <w:sz w:val="20"/>
          <w:szCs w:val="20"/>
        </w:rPr>
        <w:t xml:space="preserve"> 1 -</w:t>
      </w:r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 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Cục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Lưu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trữ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Nhà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nước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là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cơ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quan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thuộc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Hội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đồng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Bộ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trưởng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có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nhiệm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vụ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giúp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Hội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đồng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Bộ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trưởng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quản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lý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tập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trung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thống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nhất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tài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liệu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lưu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trữ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quốc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gia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,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xây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dựng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và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phát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triển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ngành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lưu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trữ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trong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cả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nước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,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Cục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Lưu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trữ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Nhà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nước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có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những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nhiệm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vụ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,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quyền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hạn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cụ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thể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như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sau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:</w:t>
      </w:r>
    </w:p>
    <w:p w14:paraId="1545FA03" w14:textId="77777777" w:rsidR="006A211D" w:rsidRPr="006A211D" w:rsidRDefault="006A211D" w:rsidP="006A2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1.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Xây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dựng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và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chỉ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đạo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thực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hiện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quy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hoạch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và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kế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hoạch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phát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triển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công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tác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lưu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trữ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.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Dự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thảo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các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văn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bản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pháp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luật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và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các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văn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bản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khác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về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quản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lý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công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tác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lưu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trữ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và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tài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liệu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lưu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trữ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quốc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gia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để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Hội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đồng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Bộ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trưởng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ban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hành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hoặc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trình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Hội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đồng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Nhà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nước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ban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hành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.</w:t>
      </w:r>
    </w:p>
    <w:p w14:paraId="389501DC" w14:textId="77777777" w:rsidR="006A211D" w:rsidRPr="006A211D" w:rsidRDefault="006A211D" w:rsidP="006A2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2.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Hướng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dẫn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các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ngành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,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các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cấp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thực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hiện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các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chế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độ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về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quản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lý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công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tác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lưu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trữ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và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nghiệp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vụ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lưu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trữ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,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và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các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công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tác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khác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có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liên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quan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đến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công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tác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lưu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trữ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.</w:t>
      </w:r>
    </w:p>
    <w:p w14:paraId="47751FD0" w14:textId="77777777" w:rsidR="006A211D" w:rsidRPr="006A211D" w:rsidRDefault="006A211D" w:rsidP="006A2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3.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Thực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hiện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chế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độ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kiểm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tra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và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thống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kê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Nhà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nước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đối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với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tài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liệu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lưu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trữ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quốc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gia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trong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cả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nước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.</w:t>
      </w:r>
    </w:p>
    <w:p w14:paraId="73524A46" w14:textId="77777777" w:rsidR="006A211D" w:rsidRPr="006A211D" w:rsidRDefault="006A211D" w:rsidP="006A2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4.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Tổ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chức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,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chỉ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đạo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,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xây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dựng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nội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dung,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chương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trình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nghiên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cứu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khoa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học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nghiệp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vụ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,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áp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dụng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những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thành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tựu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khoa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học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kỹ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thuật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nghiệp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vụ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lưu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trữ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.</w:t>
      </w:r>
    </w:p>
    <w:p w14:paraId="36F845DC" w14:textId="77777777" w:rsidR="006A211D" w:rsidRPr="006A211D" w:rsidRDefault="006A211D" w:rsidP="006A2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5.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Phối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hợp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với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các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cơ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quan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có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liên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quan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trong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việc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xây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dựng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và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quản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lý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kế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hoạch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và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chương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trình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đào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tạo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,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bồi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dưỡng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cán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bộ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lưu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trữ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bậc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trung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học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và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đại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học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lưu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trữ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.</w:t>
      </w:r>
    </w:p>
    <w:p w14:paraId="6D9CC815" w14:textId="77777777" w:rsidR="006A211D" w:rsidRPr="006A211D" w:rsidRDefault="006A211D" w:rsidP="006A2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lastRenderedPageBreak/>
        <w:t xml:space="preserve">6.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Phối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hợp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với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các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ngành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khoa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học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kỹ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thuật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trong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nước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,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đồng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thời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hợp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tác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với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các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nước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xã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hội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chủ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nghĩa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và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các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nước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khác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trên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lĩnh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vực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nghiên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cứu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khoa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học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lưu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trữ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.</w:t>
      </w:r>
    </w:p>
    <w:p w14:paraId="5DFE4E0D" w14:textId="37696A0B" w:rsidR="006A211D" w:rsidRPr="006A211D" w:rsidRDefault="006A211D" w:rsidP="006A2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7.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Quản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lý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tổ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chức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,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biên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chế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,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vật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tư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,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tài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sản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được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giao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cho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Cục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theo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chế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độ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chung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của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Nhà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nước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.</w:t>
      </w:r>
      <w:bookmarkStart w:id="0" w:name="_GoBack"/>
      <w:bookmarkEnd w:id="0"/>
    </w:p>
    <w:p w14:paraId="000538F8" w14:textId="77777777" w:rsidR="006A211D" w:rsidRPr="006A211D" w:rsidRDefault="006A211D" w:rsidP="006A211D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proofErr w:type="spellStart"/>
      <w:r w:rsidRPr="006A211D">
        <w:rPr>
          <w:rFonts w:ascii="Times New Roman" w:eastAsia="Times New Roman" w:hAnsi="Times New Roman" w:cs="Times New Roman"/>
          <w:b/>
          <w:bCs/>
          <w:color w:val="222222"/>
          <w:spacing w:val="24"/>
          <w:sz w:val="20"/>
          <w:szCs w:val="20"/>
        </w:rPr>
        <w:t>Điều</w:t>
      </w:r>
      <w:proofErr w:type="spellEnd"/>
      <w:r w:rsidRPr="006A211D">
        <w:rPr>
          <w:rFonts w:ascii="Times New Roman" w:eastAsia="Times New Roman" w:hAnsi="Times New Roman" w:cs="Times New Roman"/>
          <w:b/>
          <w:bCs/>
          <w:color w:val="222222"/>
          <w:spacing w:val="24"/>
          <w:sz w:val="20"/>
          <w:szCs w:val="20"/>
        </w:rPr>
        <w:t xml:space="preserve"> 2 -</w:t>
      </w:r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 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Hệ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thống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tổ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chức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ngành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lưu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trữ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Nhà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nước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gồm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có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:</w:t>
      </w:r>
    </w:p>
    <w:p w14:paraId="63673950" w14:textId="77777777" w:rsidR="006A211D" w:rsidRPr="006A211D" w:rsidRDefault="006A211D" w:rsidP="006A2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a.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Cục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Lưu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trữ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Nhà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nước</w:t>
      </w:r>
      <w:proofErr w:type="spellEnd"/>
    </w:p>
    <w:p w14:paraId="0A0EAD40" w14:textId="77777777" w:rsidR="006A211D" w:rsidRPr="006A211D" w:rsidRDefault="006A211D" w:rsidP="006A2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b.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Phòng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lưu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trữ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ở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các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Bộ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,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Uỷ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ban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Nhà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nước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và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các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cơ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quan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khác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thuộc</w:t>
      </w:r>
      <w:proofErr w:type="spellEnd"/>
    </w:p>
    <w:p w14:paraId="701922E6" w14:textId="77777777" w:rsidR="006A211D" w:rsidRPr="006A211D" w:rsidRDefault="006A211D" w:rsidP="006A2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Hội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đồng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Bộ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trưởng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.</w:t>
      </w:r>
    </w:p>
    <w:p w14:paraId="0F5CC9AB" w14:textId="77777777" w:rsidR="006A211D" w:rsidRPr="006A211D" w:rsidRDefault="006A211D" w:rsidP="006A2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c.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Phòng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lưu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trữ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ở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cấp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tỉnh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,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thành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phố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,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đặc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khu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trực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thuộc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Trung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ương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.</w:t>
      </w:r>
    </w:p>
    <w:p w14:paraId="75B15F30" w14:textId="77777777" w:rsidR="006A211D" w:rsidRPr="006A211D" w:rsidRDefault="006A211D" w:rsidP="006A2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d.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Các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kho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lưu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trữ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của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các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ngành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,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các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cấp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.</w:t>
      </w:r>
    </w:p>
    <w:p w14:paraId="2BD77888" w14:textId="278F7575" w:rsidR="006A211D" w:rsidRPr="006A211D" w:rsidRDefault="006A211D" w:rsidP="006A2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đ. ở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các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huyện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,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quận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,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thị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xã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,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thành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phố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thuộc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tỉnh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,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các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xí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nghiệp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,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công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trường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,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nông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trường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,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lâm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trường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,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bệnh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viện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,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tuỳ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khối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lượng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tài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liệu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lưu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trữ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có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cán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bộ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chuyên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trách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hoặc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kiêm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nhiệm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công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tác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lưu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trữ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.</w:t>
      </w:r>
    </w:p>
    <w:p w14:paraId="0437D02D" w14:textId="77777777" w:rsidR="006A211D" w:rsidRPr="006A211D" w:rsidRDefault="006A211D" w:rsidP="006A211D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proofErr w:type="spellStart"/>
      <w:r w:rsidRPr="006A211D">
        <w:rPr>
          <w:rFonts w:ascii="Times New Roman" w:eastAsia="Times New Roman" w:hAnsi="Times New Roman" w:cs="Times New Roman"/>
          <w:b/>
          <w:bCs/>
          <w:color w:val="222222"/>
          <w:spacing w:val="24"/>
          <w:sz w:val="20"/>
          <w:szCs w:val="20"/>
        </w:rPr>
        <w:t>Điều</w:t>
      </w:r>
      <w:proofErr w:type="spellEnd"/>
      <w:r w:rsidRPr="006A211D">
        <w:rPr>
          <w:rFonts w:ascii="Times New Roman" w:eastAsia="Times New Roman" w:hAnsi="Times New Roman" w:cs="Times New Roman"/>
          <w:b/>
          <w:bCs/>
          <w:color w:val="222222"/>
          <w:spacing w:val="24"/>
          <w:sz w:val="20"/>
          <w:szCs w:val="20"/>
        </w:rPr>
        <w:t xml:space="preserve"> 3</w:t>
      </w:r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 -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Tổ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chức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bộ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máy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của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Cục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Lưu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trữ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Nhà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nước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như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sau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:</w:t>
      </w:r>
    </w:p>
    <w:p w14:paraId="6C3A0EDC" w14:textId="77777777" w:rsidR="006A211D" w:rsidRPr="006A211D" w:rsidRDefault="006A211D" w:rsidP="006A2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a.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Các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cơ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quan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chức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năng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:</w:t>
      </w:r>
    </w:p>
    <w:p w14:paraId="0A58F6D3" w14:textId="77777777" w:rsidR="006A211D" w:rsidRPr="006A211D" w:rsidRDefault="006A211D" w:rsidP="006A2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1.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Phòng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quy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hoạch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,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kế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hoạch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và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thống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kê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.</w:t>
      </w:r>
    </w:p>
    <w:p w14:paraId="1201BB85" w14:textId="77777777" w:rsidR="006A211D" w:rsidRPr="006A211D" w:rsidRDefault="006A211D" w:rsidP="006A2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2.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Phòng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nghiệp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vụ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,</w:t>
      </w:r>
    </w:p>
    <w:p w14:paraId="6783A000" w14:textId="77777777" w:rsidR="006A211D" w:rsidRPr="006A211D" w:rsidRDefault="006A211D" w:rsidP="006A2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3.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Phòng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tổ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chức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cán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bộ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và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lao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động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tiền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lương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.</w:t>
      </w:r>
    </w:p>
    <w:p w14:paraId="3F9E132A" w14:textId="77777777" w:rsidR="006A211D" w:rsidRPr="006A211D" w:rsidRDefault="006A211D" w:rsidP="006A2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4. Ban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thanh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tra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,</w:t>
      </w:r>
    </w:p>
    <w:p w14:paraId="2E521311" w14:textId="77777777" w:rsidR="006A211D" w:rsidRPr="006A211D" w:rsidRDefault="006A211D" w:rsidP="006A2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5.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Văn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phòng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.</w:t>
      </w:r>
    </w:p>
    <w:p w14:paraId="1DB240BB" w14:textId="77777777" w:rsidR="006A211D" w:rsidRPr="006A211D" w:rsidRDefault="006A211D" w:rsidP="006A2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b.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Các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đơn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vị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sự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nghiệp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.</w:t>
      </w:r>
    </w:p>
    <w:p w14:paraId="5A69F955" w14:textId="77777777" w:rsidR="006A211D" w:rsidRPr="006A211D" w:rsidRDefault="006A211D" w:rsidP="006A2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1.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Các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kho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lưu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trữ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Nhà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nước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Trung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ương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,</w:t>
      </w:r>
    </w:p>
    <w:p w14:paraId="443C7B6D" w14:textId="435AA878" w:rsidR="006A211D" w:rsidRPr="006A211D" w:rsidRDefault="006A211D" w:rsidP="006A2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2.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Trường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trung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học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văn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thư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-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lưu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trữ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.</w:t>
      </w:r>
    </w:p>
    <w:p w14:paraId="4731550D" w14:textId="32DC8936" w:rsidR="006A211D" w:rsidRPr="006A211D" w:rsidRDefault="006A211D" w:rsidP="006A211D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proofErr w:type="spellStart"/>
      <w:r w:rsidRPr="006A211D">
        <w:rPr>
          <w:rFonts w:ascii="Times New Roman" w:eastAsia="Times New Roman" w:hAnsi="Times New Roman" w:cs="Times New Roman"/>
          <w:b/>
          <w:bCs/>
          <w:color w:val="222222"/>
          <w:spacing w:val="24"/>
          <w:sz w:val="20"/>
          <w:szCs w:val="20"/>
        </w:rPr>
        <w:lastRenderedPageBreak/>
        <w:t>Điều</w:t>
      </w:r>
      <w:proofErr w:type="spellEnd"/>
      <w:r w:rsidRPr="006A211D">
        <w:rPr>
          <w:rFonts w:ascii="Times New Roman" w:eastAsia="Times New Roman" w:hAnsi="Times New Roman" w:cs="Times New Roman"/>
          <w:b/>
          <w:bCs/>
          <w:color w:val="222222"/>
          <w:spacing w:val="24"/>
          <w:sz w:val="20"/>
          <w:szCs w:val="20"/>
        </w:rPr>
        <w:t xml:space="preserve"> 4</w:t>
      </w:r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 -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Cục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trưởng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Cục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Lưu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trữ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Nhà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nước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có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trách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nhiệm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quy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định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cụ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thể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nhiệm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vụ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,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quyền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hạn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,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cơ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cấu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tổ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chức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của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các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cơ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quan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đơn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vị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nói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tại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Điều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4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trên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nguyên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tắc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tổ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chức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gọn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nhẹ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trong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tổng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số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biên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chế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được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phân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bổ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.</w:t>
      </w:r>
    </w:p>
    <w:p w14:paraId="5F49F358" w14:textId="023A35CC" w:rsidR="006A211D" w:rsidRPr="006A211D" w:rsidRDefault="006A211D" w:rsidP="006A211D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proofErr w:type="spellStart"/>
      <w:r w:rsidRPr="006A211D">
        <w:rPr>
          <w:rFonts w:ascii="Times New Roman" w:eastAsia="Times New Roman" w:hAnsi="Times New Roman" w:cs="Times New Roman"/>
          <w:b/>
          <w:bCs/>
          <w:color w:val="222222"/>
          <w:spacing w:val="24"/>
          <w:sz w:val="20"/>
          <w:szCs w:val="20"/>
        </w:rPr>
        <w:t>Điều</w:t>
      </w:r>
      <w:proofErr w:type="spellEnd"/>
      <w:r w:rsidRPr="006A211D">
        <w:rPr>
          <w:rFonts w:ascii="Times New Roman" w:eastAsia="Times New Roman" w:hAnsi="Times New Roman" w:cs="Times New Roman"/>
          <w:b/>
          <w:bCs/>
          <w:color w:val="222222"/>
          <w:spacing w:val="24"/>
          <w:sz w:val="20"/>
          <w:szCs w:val="20"/>
        </w:rPr>
        <w:t xml:space="preserve"> 5</w:t>
      </w:r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 -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Nghị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định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này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có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hiệu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lực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kể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từ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ngày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ban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hành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.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Bãi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bỏ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các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văn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bản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trước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đây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trái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với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Nghị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định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này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.</w:t>
      </w:r>
    </w:p>
    <w:p w14:paraId="33095D19" w14:textId="77777777" w:rsidR="006A211D" w:rsidRPr="006A211D" w:rsidRDefault="006A211D" w:rsidP="006A211D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proofErr w:type="spellStart"/>
      <w:r w:rsidRPr="006A211D">
        <w:rPr>
          <w:rFonts w:ascii="Times New Roman" w:eastAsia="Times New Roman" w:hAnsi="Times New Roman" w:cs="Times New Roman"/>
          <w:b/>
          <w:bCs/>
          <w:color w:val="222222"/>
          <w:spacing w:val="24"/>
          <w:sz w:val="20"/>
          <w:szCs w:val="20"/>
        </w:rPr>
        <w:t>Điều</w:t>
      </w:r>
      <w:proofErr w:type="spellEnd"/>
      <w:r w:rsidRPr="006A211D">
        <w:rPr>
          <w:rFonts w:ascii="Times New Roman" w:eastAsia="Times New Roman" w:hAnsi="Times New Roman" w:cs="Times New Roman"/>
          <w:b/>
          <w:bCs/>
          <w:color w:val="222222"/>
          <w:spacing w:val="24"/>
          <w:sz w:val="20"/>
          <w:szCs w:val="20"/>
        </w:rPr>
        <w:t xml:space="preserve"> 6</w:t>
      </w:r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 -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Bộ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trưởng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Tổng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thư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ký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Hội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đồng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Bộ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trưởng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,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Cục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trưởng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Cục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Lưu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trữ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Nhà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nước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,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các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Bộ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trưởng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,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Chủ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nhiệm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Uỷ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ban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Nhà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nước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,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thủ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trưởng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các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cơ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quan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khác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thuộc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Hội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đồng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Bộ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trưởng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và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Chủ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tịch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Uỷ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ban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nhân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dân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các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tỉnh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,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thành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phố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,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đặc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khu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trực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thuộc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Trung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ương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có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trách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nhiệm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thi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hành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Nghị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định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này</w:t>
      </w:r>
      <w:proofErr w:type="spellEnd"/>
      <w:r w:rsidRPr="006A211D">
        <w:rPr>
          <w:rFonts w:ascii="Times New Roman" w:eastAsia="Times New Roman" w:hAnsi="Times New Roman" w:cs="Times New Roman"/>
          <w:color w:val="222222"/>
          <w:sz w:val="27"/>
          <w:szCs w:val="27"/>
        </w:rPr>
        <w:t>.</w:t>
      </w:r>
    </w:p>
    <w:p w14:paraId="2377C515" w14:textId="77777777" w:rsidR="00B75D57" w:rsidRDefault="00B75D57"/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1D"/>
    <w:rsid w:val="006A211D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0180A"/>
  <w15:chartTrackingRefBased/>
  <w15:docId w15:val="{53078C63-2064-4600-B8B0-44FD5168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2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2022-07-20T02:50:00Z</dcterms:created>
  <dcterms:modified xsi:type="dcterms:W3CDTF">2022-07-20T02:50:00Z</dcterms:modified>
</cp:coreProperties>
</file>