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4"/>
        <w:gridCol w:w="5886"/>
      </w:tblGrid>
      <w:tr w:rsidR="00FC6F74" w:rsidRPr="00FC6F74" w14:paraId="61A26CF4" w14:textId="77777777" w:rsidTr="00FC6F74">
        <w:tc>
          <w:tcPr>
            <w:tcW w:w="18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E393EB1" w14:textId="77777777" w:rsidR="00FC6F74" w:rsidRPr="00FC6F74" w:rsidRDefault="00FC6F74" w:rsidP="00FC6F7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FC6F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HỘI ĐỒNG BỘ TRƯỞNG</w:t>
            </w:r>
            <w:r w:rsidRPr="00FC6F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********</w:t>
            </w:r>
          </w:p>
        </w:tc>
        <w:tc>
          <w:tcPr>
            <w:tcW w:w="30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526EEC3" w14:textId="77777777" w:rsidR="00FC6F74" w:rsidRPr="00FC6F74" w:rsidRDefault="00FC6F74" w:rsidP="00FC6F7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FC6F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CỘNG HOÀ XÃ HỘI CHỦ NGHĨA VIỆT NAM</w:t>
            </w:r>
            <w:r w:rsidRPr="00FC6F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</w:r>
            <w:proofErr w:type="spellStart"/>
            <w:r w:rsidRPr="00FC6F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Độc</w:t>
            </w:r>
            <w:proofErr w:type="spellEnd"/>
            <w:r w:rsidRPr="00FC6F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C6F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lập</w:t>
            </w:r>
            <w:proofErr w:type="spellEnd"/>
            <w:r w:rsidRPr="00FC6F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- </w:t>
            </w:r>
            <w:proofErr w:type="spellStart"/>
            <w:r w:rsidRPr="00FC6F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Tự</w:t>
            </w:r>
            <w:proofErr w:type="spellEnd"/>
            <w:r w:rsidRPr="00FC6F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do - </w:t>
            </w:r>
            <w:proofErr w:type="spellStart"/>
            <w:r w:rsidRPr="00FC6F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Hạnh</w:t>
            </w:r>
            <w:proofErr w:type="spellEnd"/>
            <w:r w:rsidRPr="00FC6F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C6F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phúc</w:t>
            </w:r>
            <w:proofErr w:type="spellEnd"/>
            <w:r w:rsidRPr="00FC6F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********</w:t>
            </w:r>
          </w:p>
        </w:tc>
      </w:tr>
      <w:tr w:rsidR="00FC6F74" w:rsidRPr="00FC6F74" w14:paraId="443FEBFA" w14:textId="77777777" w:rsidTr="00FC6F74">
        <w:tc>
          <w:tcPr>
            <w:tcW w:w="18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F3ABCBC" w14:textId="77777777" w:rsidR="00FC6F74" w:rsidRPr="00FC6F74" w:rsidRDefault="00FC6F74" w:rsidP="00FC6F7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Số</w:t>
            </w:r>
            <w:proofErr w:type="spellEnd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 112-HĐBT</w:t>
            </w:r>
          </w:p>
        </w:tc>
        <w:tc>
          <w:tcPr>
            <w:tcW w:w="30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B6747F1" w14:textId="77777777" w:rsidR="00FC6F74" w:rsidRPr="00FC6F74" w:rsidRDefault="00FC6F74" w:rsidP="00FC6F74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FC6F74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Hà</w:t>
            </w:r>
            <w:proofErr w:type="spellEnd"/>
            <w:r w:rsidRPr="00FC6F74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C6F74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Nội</w:t>
            </w:r>
            <w:proofErr w:type="spellEnd"/>
            <w:r w:rsidRPr="00FC6F74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FC6F74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ngày</w:t>
            </w:r>
            <w:proofErr w:type="spellEnd"/>
            <w:r w:rsidRPr="00FC6F74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25 </w:t>
            </w:r>
            <w:proofErr w:type="spellStart"/>
            <w:r w:rsidRPr="00FC6F74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tháng</w:t>
            </w:r>
            <w:proofErr w:type="spellEnd"/>
            <w:r w:rsidRPr="00FC6F74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8 </w:t>
            </w:r>
            <w:proofErr w:type="spellStart"/>
            <w:r w:rsidRPr="00FC6F74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năm</w:t>
            </w:r>
            <w:proofErr w:type="spellEnd"/>
            <w:r w:rsidRPr="00FC6F74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1984</w:t>
            </w:r>
          </w:p>
        </w:tc>
      </w:tr>
    </w:tbl>
    <w:p w14:paraId="634CA05F" w14:textId="77777777" w:rsidR="00FC6F74" w:rsidRPr="00FC6F74" w:rsidRDefault="00FC6F74" w:rsidP="00FC6F74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 ĐỊNH</w:t>
      </w:r>
    </w:p>
    <w:p w14:paraId="0DB15274" w14:textId="77777777" w:rsidR="00FC6F74" w:rsidRPr="00FC6F74" w:rsidRDefault="00FC6F74" w:rsidP="00FC6F74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FC6F74">
        <w:rPr>
          <w:rFonts w:ascii="Arial" w:eastAsia="Times New Roman" w:hAnsi="Arial" w:cs="Arial"/>
          <w:color w:val="333333"/>
          <w:sz w:val="24"/>
          <w:szCs w:val="24"/>
        </w:rPr>
        <w:t>CỦA HỘI ĐỒNG BỘ TRƯỞNG 112-HĐBT NGÀY 25 THÁNG 8 NĂM 1984 VỀ VIỆC THU THUỶ LỢI PHÍ</w:t>
      </w:r>
    </w:p>
    <w:p w14:paraId="66B4DBDE" w14:textId="77777777" w:rsidR="00FC6F74" w:rsidRPr="00FC6F74" w:rsidRDefault="00FC6F74" w:rsidP="00FC6F74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>HỘI ĐỒNG BỘ TRƯỞNG</w:t>
      </w:r>
    </w:p>
    <w:p w14:paraId="4363C889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Để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bảo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đảm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duy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trì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khai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thác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tốt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công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trình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bằng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sự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đóng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góp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công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bằng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hợp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lý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những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diện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tích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được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hưởng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về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nước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;</w:t>
      </w:r>
      <w:r w:rsidRPr="00FC6F74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Để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tạo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điều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kiện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cho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xí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nghiệp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quản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lý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khai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thác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(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dưới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đây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gọi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tắt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là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xí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nghiệp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thủy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)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thực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hiện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hạch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toán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kinh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tế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nâng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cao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hiệu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quả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phục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vụ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đáp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ứng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ngày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càng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tốt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hơn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yêu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cầu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tưới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tiêu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sản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xuất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nghiệp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.</w:t>
      </w:r>
      <w:r w:rsidRPr="00FC6F74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Để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đề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cao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trách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nhiệm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cấp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chính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quyền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nhân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dân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trong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việc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bảo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vệ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quản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lý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sử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dụng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tốt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công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trình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;</w:t>
      </w:r>
      <w:r w:rsidRPr="00FC6F74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Theo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đề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nghị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trưởng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trưởng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Tài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chính</w:t>
      </w:r>
      <w:proofErr w:type="spellEnd"/>
      <w:r w:rsidRPr="00FC6F74">
        <w:rPr>
          <w:rFonts w:ascii="Arial" w:eastAsia="Times New Roman" w:hAnsi="Arial" w:cs="Arial"/>
          <w:i/>
          <w:iCs/>
          <w:color w:val="333333"/>
          <w:sz w:val="24"/>
          <w:szCs w:val="24"/>
        </w:rPr>
        <w:t>,</w:t>
      </w:r>
    </w:p>
    <w:p w14:paraId="66111765" w14:textId="77777777" w:rsidR="00FC6F74" w:rsidRPr="00FC6F74" w:rsidRDefault="00FC6F74" w:rsidP="00FC6F74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 ĐỊNH:</w:t>
      </w:r>
    </w:p>
    <w:p w14:paraId="38BB5F8C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1.</w:t>
      </w:r>
      <w:r w:rsidRPr="00FC6F74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Mọi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được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hưởng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tưới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tiêu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hoặc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dịch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từ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trình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do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đều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trả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074D603E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2.</w:t>
      </w:r>
      <w:r w:rsidRPr="00FC6F74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gồm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khoản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3E71F0F5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a)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Khấu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hao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bản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khấu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hao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sửa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chữa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lớn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chi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sửa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chữa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thường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xuyên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máy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móc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thiết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bị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xưởng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tàng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phương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tiện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vận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phương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tiện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dùng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việc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duy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trì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khai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trình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kể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khấu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hao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bản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máy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bơm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lớn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3435B6F4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b) Chi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sửa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chữa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lớn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bổ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sửa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chữa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thường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xuyên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trình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xây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dựng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đúc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bằng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đất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ngoài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số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do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đóng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góp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0BB88137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c) Chi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xăng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dầu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4041D4E6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d) Chi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lương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viên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chi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3891650E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Để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giảm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nhẹ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tạm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thời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chưa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tính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khấu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hao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bản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trình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xây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đúc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bằng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đất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khấu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hao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bản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máy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bơm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lớn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xem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đây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như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một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khoản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trợ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cấp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cần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trang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bị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thêm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hoặc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thay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thế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máy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bơm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lớn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sách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ương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cấp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trực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tiếp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qua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kế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hoạch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đầu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tư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xây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dựng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bản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hàng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năm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3CDE9A56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3.</w:t>
      </w:r>
      <w:r w:rsidRPr="00FC6F74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Việc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bổ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mỗi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đơn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vị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diện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tích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được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hưởng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căn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cứ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theo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nguyên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tắc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sau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đây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42D39D53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a)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tính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mức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độ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phục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tưới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tiêu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từng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trình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(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tưới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tiêu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chủ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động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hoặc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chủ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động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một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phần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hoặc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tạo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nguồn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tưới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mở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đường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tiêu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).</w:t>
      </w:r>
    </w:p>
    <w:p w14:paraId="4B4748F3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C6F74"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b)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tính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kiện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chi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tưới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tiêu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từng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trình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từng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sản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08C67D47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Nguyên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tắc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cần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được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vận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dụng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linh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hoạt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trình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kiện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tự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nhiên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thuận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chi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tương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thấp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thể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cao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hơn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một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chút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so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chi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thực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để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bù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trình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kiện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tự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nhiên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thuận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chi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cao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năm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thời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tiết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thuận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chi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thấp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vẫn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theo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mức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bình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thường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để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bù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năm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thời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tiết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thuận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chi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cao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41C0CEF4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c)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tính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hiệu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quả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dịch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tưới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tiêu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thể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hiện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ở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năng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suất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ruộng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đất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1CD04F65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4.</w:t>
      </w:r>
      <w:r w:rsidRPr="00FC6F74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tính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bằng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thóc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7E82869E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diện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tích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trồng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cây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lương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thực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thì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bằng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thóc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(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hoặc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lương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thực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).</w:t>
      </w:r>
    </w:p>
    <w:p w14:paraId="70734CB0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trường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sau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đây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thì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bằng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tiền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: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diện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tích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trồng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loại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cây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cây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lương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thực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;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dịch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liên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trồng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trọt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;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tập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đoàn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sản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hộ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thể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tuy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sản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lương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thực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nhưng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lương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thực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chưa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vượt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quá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mức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tối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thiểu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cần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thiết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do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phố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đặc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(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dưới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đây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gọi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tắt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)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bằng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tiền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số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thóc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trả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tính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theo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giá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mua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thỏa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thuận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do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sản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đó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Riêng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quốc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doanh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thì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tính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theo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giá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chỉ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đạo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mua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1251EE5B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5.</w:t>
      </w:r>
      <w:r w:rsidRPr="00FC6F74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Căn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cứ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nguyên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tắc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ghi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ở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2,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3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4,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mức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(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tính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theo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lệ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phần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trăm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sản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lượng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bình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ruộng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đất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)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một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đơn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vị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diện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tích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trồng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lúa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tưới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tiêu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chủ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động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như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sau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1875"/>
        <w:gridCol w:w="1824"/>
        <w:gridCol w:w="1891"/>
      </w:tblGrid>
      <w:tr w:rsidR="00FC6F74" w:rsidRPr="00FC6F74" w14:paraId="669266B2" w14:textId="77777777" w:rsidTr="00FC6F74"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C31DA9E" w14:textId="77777777" w:rsidR="00FC6F74" w:rsidRPr="00FC6F74" w:rsidRDefault="00FC6F74" w:rsidP="00FC6F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F9CDD21" w14:textId="77777777" w:rsidR="00FC6F74" w:rsidRPr="00FC6F74" w:rsidRDefault="00FC6F74" w:rsidP="00FC6F7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FC6F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Vụ</w:t>
            </w:r>
            <w:proofErr w:type="spellEnd"/>
            <w:r w:rsidRPr="00FC6F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C6F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đông</w:t>
            </w:r>
            <w:proofErr w:type="spellEnd"/>
            <w:r w:rsidRPr="00FC6F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C6F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xuân</w:t>
            </w:r>
            <w:proofErr w:type="spellEnd"/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FDC0D09" w14:textId="77777777" w:rsidR="00FC6F74" w:rsidRPr="00FC6F74" w:rsidRDefault="00FC6F74" w:rsidP="00FC6F7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FC6F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Vụ</w:t>
            </w:r>
            <w:proofErr w:type="spellEnd"/>
            <w:r w:rsidRPr="00FC6F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C6F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hè</w:t>
            </w:r>
            <w:proofErr w:type="spellEnd"/>
            <w:r w:rsidRPr="00FC6F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C6F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thu</w:t>
            </w:r>
            <w:proofErr w:type="spellEnd"/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7ECE823" w14:textId="77777777" w:rsidR="00FC6F74" w:rsidRPr="00FC6F74" w:rsidRDefault="00FC6F74" w:rsidP="00FC6F7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FC6F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Vụ</w:t>
            </w:r>
            <w:proofErr w:type="spellEnd"/>
            <w:r w:rsidRPr="00FC6F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C6F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mùa</w:t>
            </w:r>
            <w:proofErr w:type="spellEnd"/>
          </w:p>
        </w:tc>
      </w:tr>
      <w:tr w:rsidR="00FC6F74" w:rsidRPr="00FC6F74" w14:paraId="310D0EDF" w14:textId="77777777" w:rsidTr="00FC6F74"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97AAEA8" w14:textId="77777777" w:rsidR="00FC6F74" w:rsidRPr="00FC6F74" w:rsidRDefault="00FC6F74" w:rsidP="00FC6F74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A. </w:t>
            </w:r>
            <w:proofErr w:type="spellStart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Tưới</w:t>
            </w:r>
            <w:proofErr w:type="spellEnd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và</w:t>
            </w:r>
            <w:proofErr w:type="spellEnd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tiêu</w:t>
            </w:r>
            <w:proofErr w:type="spellEnd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bằng</w:t>
            </w:r>
            <w:proofErr w:type="spellEnd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trọng</w:t>
            </w:r>
            <w:proofErr w:type="spellEnd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lực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28B1D67" w14:textId="77777777" w:rsidR="00FC6F74" w:rsidRPr="00FC6F74" w:rsidRDefault="00FC6F74" w:rsidP="00FC6F7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4-6.5%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DF3BEFF" w14:textId="77777777" w:rsidR="00FC6F74" w:rsidRPr="00FC6F74" w:rsidRDefault="00FC6F74" w:rsidP="00FC6F7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4.5-7%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AF340E4" w14:textId="77777777" w:rsidR="00FC6F74" w:rsidRPr="00FC6F74" w:rsidRDefault="00FC6F74" w:rsidP="00FC6F7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3-5.5%</w:t>
            </w:r>
          </w:p>
        </w:tc>
      </w:tr>
      <w:tr w:rsidR="00FC6F74" w:rsidRPr="00FC6F74" w14:paraId="571A91D3" w14:textId="77777777" w:rsidTr="00FC6F74"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D0042A6" w14:textId="77777777" w:rsidR="00FC6F74" w:rsidRPr="00FC6F74" w:rsidRDefault="00FC6F74" w:rsidP="00FC6F74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B. </w:t>
            </w:r>
            <w:proofErr w:type="spellStart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Tưới</w:t>
            </w:r>
            <w:proofErr w:type="spellEnd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bằng</w:t>
            </w:r>
            <w:proofErr w:type="spellEnd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bơm</w:t>
            </w:r>
            <w:proofErr w:type="spellEnd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điện</w:t>
            </w:r>
            <w:proofErr w:type="spellEnd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</w:t>
            </w:r>
          </w:p>
          <w:p w14:paraId="6E09B8A3" w14:textId="77777777" w:rsidR="00FC6F74" w:rsidRPr="00FC6F74" w:rsidRDefault="00FC6F74" w:rsidP="00FC6F74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tiêu</w:t>
            </w:r>
            <w:proofErr w:type="spellEnd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bằng</w:t>
            </w:r>
            <w:proofErr w:type="spellEnd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trọng</w:t>
            </w:r>
            <w:proofErr w:type="spellEnd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lực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5FD395C" w14:textId="77777777" w:rsidR="00FC6F74" w:rsidRPr="00FC6F74" w:rsidRDefault="00FC6F74" w:rsidP="00FC6F7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4.5-7%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E8E2083" w14:textId="77777777" w:rsidR="00FC6F74" w:rsidRPr="00FC6F74" w:rsidRDefault="00FC6F74" w:rsidP="00FC6F7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5-7.5%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D82343C" w14:textId="77777777" w:rsidR="00FC6F74" w:rsidRPr="00FC6F74" w:rsidRDefault="00FC6F74" w:rsidP="00FC6F7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3.5-6%</w:t>
            </w:r>
          </w:p>
        </w:tc>
      </w:tr>
      <w:tr w:rsidR="00FC6F74" w:rsidRPr="00FC6F74" w14:paraId="3FCB891D" w14:textId="77777777" w:rsidTr="00FC6F74"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159360D" w14:textId="77777777" w:rsidR="00FC6F74" w:rsidRPr="00FC6F74" w:rsidRDefault="00FC6F74" w:rsidP="00FC6F74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C. </w:t>
            </w:r>
            <w:proofErr w:type="spellStart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Tưới</w:t>
            </w:r>
            <w:proofErr w:type="spellEnd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và</w:t>
            </w:r>
            <w:proofErr w:type="spellEnd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tiêu</w:t>
            </w:r>
            <w:proofErr w:type="spellEnd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bằng</w:t>
            </w:r>
            <w:proofErr w:type="spellEnd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bơm</w:t>
            </w:r>
            <w:proofErr w:type="spellEnd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điện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67B67DD" w14:textId="77777777" w:rsidR="00FC6F74" w:rsidRPr="00FC6F74" w:rsidRDefault="00FC6F74" w:rsidP="00FC6F7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5-7.5%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74C6CA5" w14:textId="77777777" w:rsidR="00FC6F74" w:rsidRPr="00FC6F74" w:rsidRDefault="00FC6F74" w:rsidP="00FC6F7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5.5-8%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9F0A3E0" w14:textId="77777777" w:rsidR="00FC6F74" w:rsidRPr="00FC6F74" w:rsidRDefault="00FC6F74" w:rsidP="00FC6F7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4-6.5%</w:t>
            </w:r>
          </w:p>
        </w:tc>
      </w:tr>
    </w:tbl>
    <w:p w14:paraId="7E57F4F9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trường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tưới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tiêu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chủ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động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một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phần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thì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bằng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70-80%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mức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0F5DF3B0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trường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tạo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nguồn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tưới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hoặc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mở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đường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tiêu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thì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bằng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50-70%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mức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225A6AE6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hè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ở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nơi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mưa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đều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tưới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ít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thì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bằng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90%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mức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(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mức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hè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).</w:t>
      </w:r>
    </w:p>
    <w:p w14:paraId="01C3C9BB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trường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dụng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triều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để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tưới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tiêu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thì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bằng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70%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mức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ở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điểm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A,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5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4F1ECC0C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trường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tưới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bằng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bơm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dầu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suốt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thì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bằng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120%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mức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ở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điểm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C,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5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6B86BC47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căn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cứ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mức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tối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thiểu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tối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đây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mức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cụ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thể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ở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địa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phương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2AF1F16C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lastRenderedPageBreak/>
        <w:t>Điều</w:t>
      </w:r>
      <w:proofErr w:type="spellEnd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6.</w:t>
      </w:r>
      <w:r w:rsidRPr="00FC6F74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diện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tích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trồng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rau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màu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cây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ngắn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ngày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(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kể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cả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cây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),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cây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lâu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năm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nếu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yêu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cầu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tưới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tiêu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thì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bằng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40%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mức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diện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tích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trồng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lúa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1EC77901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trường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tưới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bằng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nguồn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ngầm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hoặc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tưới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phun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thì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căn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cứ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tình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hình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cụ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thể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mức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thích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6579DAC0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7.</w:t>
      </w:r>
      <w:r w:rsidRPr="00FC6F74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Phục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vận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hệ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thống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thủy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cứ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mỗi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chuyến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thuyền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qua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cầu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cống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tuỳ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theo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loại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thuyền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bè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lan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lớn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nhỏ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bằng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tiền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tương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đương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từ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5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30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kilôgam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thóc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0EC9EB38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8.</w:t>
      </w:r>
      <w:r w:rsidRPr="00FC6F74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doanh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nuôi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sản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hệ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thống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cứ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mỗi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hécta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mặt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bằng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tiền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tương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đương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từ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5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10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kilôgam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thóc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/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năm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7351734C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9.</w:t>
      </w:r>
      <w:r w:rsidRPr="00FC6F74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Nếu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việc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phục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tưới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tiêu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đạt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tiêu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chuẩn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mức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ghi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làm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ảnh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hưởng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hiệu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quả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sản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dụng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thì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bị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phạt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giảm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tương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ứng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16C10E0B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Nếu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việc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phục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tưới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tiêu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đạt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chất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lượng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cao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làm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tăng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hiệu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quả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sản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dụng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thì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được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thưởng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tăng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tương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ứng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074470F9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kiện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thưởng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phạt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được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cụ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thể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qua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nâng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cao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dần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trình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độ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phục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từng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bước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hoàn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thiện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trình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tưới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tiêu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theo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phương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pháp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khoa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học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67AEC40A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10.</w:t>
      </w:r>
      <w:r w:rsidRPr="00FC6F74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trường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thiên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tai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gây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thiệt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hại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nặng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mùa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màng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miễn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giảm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theo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mức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như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sau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36A3ADB1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Thiệt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hại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từ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30%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dưới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50%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thì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giảm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30%.</w:t>
      </w:r>
    </w:p>
    <w:p w14:paraId="404B3505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Thiệt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hại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từ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50%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dưới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70%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thì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giảm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50%</w:t>
      </w:r>
    </w:p>
    <w:p w14:paraId="203DD2DD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Thiệt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hại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từ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70%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trở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thì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miễn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7ECF3E26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Việc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miễn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giảm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do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quyết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6F903E26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11.</w:t>
      </w:r>
      <w:r w:rsidRPr="00FC6F74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thủy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cùng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hộ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dụng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ký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kết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hàng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năm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từng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đó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ghi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rõ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diện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tích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tưới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tiêu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tiêu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chuẩn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mức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chất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lượng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tưới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tiêu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thưởng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phạt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thanh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toán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Cuối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mỗi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sản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cùng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dụng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đánh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giá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kết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quả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thực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hiện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số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phù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kết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quả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thực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hiện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: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sở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đó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lập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sổ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báo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Ủy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huyện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(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hoặc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cấp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tương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đương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)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duyệt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. Sau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được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huyện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duyệt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thì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tiến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0BAD2BDF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12.</w:t>
      </w:r>
      <w:r w:rsidRPr="00FC6F74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Sở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căn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cứ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kế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hoạch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thủy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để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lập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kế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hoạch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báo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0D78CB6D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giao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chỉ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tiêu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kế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hoạch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hàng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năm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từng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huyện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quận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thị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lương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thực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(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nhập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số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thóc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),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tài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liên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6E20DE06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Chỉ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tiêu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kế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hoạch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được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huyện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quận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thị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giao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tận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tập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đoàn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sản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được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thực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hiện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cùng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một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lú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việc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thuế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mua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lương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thực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7DF28CAE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lastRenderedPageBreak/>
        <w:t>Điều</w:t>
      </w:r>
      <w:proofErr w:type="spellEnd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13.</w:t>
      </w:r>
      <w:r w:rsidRPr="00FC6F74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Số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bằng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thóc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(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hoặc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lương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thực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)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giao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toàn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lương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thực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do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lương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thực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trực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tiếp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nhận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trường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tập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đoàn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sản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hộ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thể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Căn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cứ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số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do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cung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cấp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lương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thực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thanh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toán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theo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giá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chỉ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đạo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mua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5D0BDCD4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Số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thủy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bằng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tiền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thì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do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thủy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trực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tiếp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được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hưởng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dịch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2B23A754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14.</w:t>
      </w:r>
      <w:r w:rsidRPr="00FC6F74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thực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hiện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hạch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toán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dựa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số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được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(bao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gồm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số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bằng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thóc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ra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tiền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số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trực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tiếp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bằng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tiền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).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dụng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nhiều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nguồn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một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tiết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kiệm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thời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dành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một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phần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để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dự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phòng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năm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thiên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tai, chi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tăng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Riêng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khoản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khấu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hao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bản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khấu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hao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sửa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chữa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lớn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thì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tập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quỹ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để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phối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theo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cầu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thực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mỗi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năm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đổi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máy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móc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thiết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bị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sửa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chữa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lớn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11D71417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từng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nhánh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một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hệ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thống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liên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liên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huyện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trích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nộp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một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phần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nguồn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mình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trình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đầu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mối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cả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hệ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thống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032A7047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nếu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xét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cần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thiết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sở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bảo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đảm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nguyên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tắc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hạch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toán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thể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hòa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nguồn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giữa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do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nhằm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hỗ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trợ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do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khó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khăn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kiện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khách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nguồn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đủ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bảo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đảm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cầu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chi.</w:t>
      </w:r>
    </w:p>
    <w:p w14:paraId="0E2216EF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Nếu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do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miễn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giảm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hoặc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do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thiên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tai, chi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tăng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nguồn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nguồn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dự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trữ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đủ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bảo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đảm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cầu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chi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tối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thiểu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cần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thiết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thì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sách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địa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phương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(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sách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hoặc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sách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huyện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)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trợ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cấp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đặc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biệt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4CD678B6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Nếu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do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khuyết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điểm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nguồn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bị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giảm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chi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tăng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thì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gánh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chịu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mọi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hậu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quả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5AE1BD33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15.</w:t>
      </w:r>
      <w:r w:rsidRPr="00FC6F74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lập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quỹ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từ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nguồn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sau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: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khoản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khấu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hao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bản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khấu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hao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sửa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chữa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lớn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do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nộp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khoản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tiết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từ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kiện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khách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thuận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Quỹ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do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(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hoặc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ủy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quyền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Sở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),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dụng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chủ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yếu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việc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sửa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chữa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lớn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đổi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máy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móc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thiết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bị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;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sửa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chữa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lớn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trình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xây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đúc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bằng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đất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;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hỗ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trợ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do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khó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khăn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kiện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khách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nguồn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đủ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bảo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đảm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cầu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chi;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dự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phòng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năm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thiên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tai, chi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tăng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nhưng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nguồn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thì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giảm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21243AA0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Gặp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trường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cần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tiến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đổi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mới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máy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móc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thiết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bị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hoặc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sửa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chữa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lớn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trình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quỹ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chưa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tập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được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đủ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số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vốn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cần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thiết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thì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sách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địa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phương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tạm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ứng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hoặc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trợ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cấp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trường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quỹ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sau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đã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sử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dụng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mục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đích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dành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phần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dự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phòng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cần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thiết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vẫn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còn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dư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thì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được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quyền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huy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động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để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đầu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tư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việc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hoàn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thiện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nâng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cao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trình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05E9D196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16.</w:t>
      </w:r>
      <w:r w:rsidRPr="00FC6F74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từ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mùa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năm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1984.</w:t>
      </w:r>
    </w:p>
    <w:p w14:paraId="761A2993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lastRenderedPageBreak/>
        <w:t>Tất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cả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trước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đây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ương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cũng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như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địa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phương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đều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bỏ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64B9F48C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lợi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Tài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Lương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thực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lực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hướng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dẫn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4CE77A59" w14:textId="77777777" w:rsidR="00FC6F74" w:rsidRPr="00FC6F74" w:rsidRDefault="00FC6F74" w:rsidP="00FC6F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FC6F7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17.</w:t>
      </w:r>
      <w:r w:rsidRPr="00FC6F74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Chủ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Thủ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Chủ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tịch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Uỷ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phố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đặc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khu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trực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ương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chịu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trách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thi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C6F74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FC6F7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FC6F74" w:rsidRPr="00FC6F74" w14:paraId="54905FF4" w14:textId="77777777" w:rsidTr="00FC6F74">
        <w:tc>
          <w:tcPr>
            <w:tcW w:w="42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D79DA" w14:textId="77777777" w:rsidR="00FC6F74" w:rsidRPr="00FC6F74" w:rsidRDefault="00FC6F74" w:rsidP="00FC6F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89203" w14:textId="77777777" w:rsidR="00FC6F74" w:rsidRPr="00FC6F74" w:rsidRDefault="00FC6F74" w:rsidP="00FC6F7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FC6F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Tố</w:t>
            </w:r>
            <w:proofErr w:type="spellEnd"/>
            <w:r w:rsidRPr="00FC6F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C6F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Hữu</w:t>
            </w:r>
            <w:proofErr w:type="spellEnd"/>
          </w:p>
          <w:p w14:paraId="5516538E" w14:textId="77777777" w:rsidR="00FC6F74" w:rsidRPr="00FC6F74" w:rsidRDefault="00FC6F74" w:rsidP="00FC6F7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(</w:t>
            </w:r>
            <w:proofErr w:type="spellStart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Đã</w:t>
            </w:r>
            <w:proofErr w:type="spellEnd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ký</w:t>
            </w:r>
            <w:proofErr w:type="spellEnd"/>
            <w:r w:rsidRPr="00FC6F7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)</w:t>
            </w:r>
          </w:p>
        </w:tc>
      </w:tr>
    </w:tbl>
    <w:p w14:paraId="17611ECC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74"/>
    <w:rsid w:val="00B75D57"/>
    <w:rsid w:val="00FC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D4B9B"/>
  <w15:chartTrackingRefBased/>
  <w15:docId w15:val="{371B7787-C7C4-49F6-B612-E4837D4B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76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1595</Words>
  <Characters>9098</Characters>
  <Application>Microsoft Office Word</Application>
  <DocSecurity>0</DocSecurity>
  <Lines>75</Lines>
  <Paragraphs>21</Paragraphs>
  <ScaleCrop>false</ScaleCrop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2022-07-20T03:06:00Z</dcterms:created>
  <dcterms:modified xsi:type="dcterms:W3CDTF">2022-07-20T03:06:00Z</dcterms:modified>
</cp:coreProperties>
</file>