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4105"/>
      </w:tblGrid>
      <w:tr w:rsidR="00F75428" w:rsidRPr="00F75428" w14:paraId="574E7149" w14:textId="77777777" w:rsidTr="00F75428">
        <w:trPr>
          <w:tblCellSpacing w:w="24" w:type="dxa"/>
        </w:trPr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AC43C8" w14:textId="77777777" w:rsidR="00F75428" w:rsidRPr="00F75428" w:rsidRDefault="00F75428" w:rsidP="00F7542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HỘI ĐỒNG BỘ TRƯỞNG</w:t>
            </w:r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B15674" w14:textId="77777777" w:rsidR="00F75428" w:rsidRPr="00F75428" w:rsidRDefault="00F75428" w:rsidP="00F7542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F75428" w:rsidRPr="00F75428" w14:paraId="294E5E0F" w14:textId="77777777" w:rsidTr="00F75428">
        <w:trPr>
          <w:tblCellSpacing w:w="24" w:type="dxa"/>
        </w:trPr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5CF2DB" w14:textId="77777777" w:rsidR="00F75428" w:rsidRPr="00F75428" w:rsidRDefault="00F75428" w:rsidP="00F7542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189-HĐBT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DDA6A2" w14:textId="77777777" w:rsidR="00F75428" w:rsidRPr="00F75428" w:rsidRDefault="00F75428" w:rsidP="00F7542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15 </w:t>
            </w:r>
            <w:proofErr w:type="spellStart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F7542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1991</w:t>
            </w:r>
          </w:p>
        </w:tc>
      </w:tr>
    </w:tbl>
    <w:p w14:paraId="3E7B2AAF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16214F1F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16E5200C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 HỘI ĐỒNG BỘ TRƯỞNG SỐ 189-HĐBT NGÀY 15-6-1991 BAN HÀNH QUY CHẾ CHI NHÁNH NGÂN HÀNG NƯỚC NGOÀI, NGÂN HÀNG LIÊN DOANH HOẠT ĐỘNG TẠI VIỆT NAM</w:t>
      </w:r>
      <w:bookmarkEnd w:id="1"/>
      <w:r w:rsidRPr="00F754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6F0B204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HỘI ĐỒNG BỘ TRƯỞNG</w:t>
      </w:r>
    </w:p>
    <w:p w14:paraId="18E265A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7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1981;</w:t>
      </w:r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Nam,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tác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tín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ty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bố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tịch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37 - LCT/HĐNN8,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38 - LCT/HĐNN8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24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5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1990;</w:t>
      </w:r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Nhằm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mở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rộng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sự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tác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lĩnh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vực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4062053E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0B6FEC00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_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 -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 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2"/>
    </w:p>
    <w:p w14:paraId="5FBD729F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_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 -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01E32791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_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 -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"/>
    </w:p>
    <w:p w14:paraId="02718513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4_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 -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580AE180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8"/>
        <w:gridCol w:w="4438"/>
      </w:tblGrid>
      <w:tr w:rsidR="00F75428" w:rsidRPr="00F75428" w14:paraId="39158C91" w14:textId="77777777" w:rsidTr="00F75428">
        <w:trPr>
          <w:tblCellSpacing w:w="0" w:type="dxa"/>
        </w:trPr>
        <w:tc>
          <w:tcPr>
            <w:tcW w:w="4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D3CC" w14:textId="77777777" w:rsidR="00F75428" w:rsidRPr="00F75428" w:rsidRDefault="00F75428" w:rsidP="00F7542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0550" w14:textId="77777777" w:rsidR="00F75428" w:rsidRPr="00F75428" w:rsidRDefault="00F75428" w:rsidP="00F7542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542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Kiệt</w:t>
            </w:r>
            <w:proofErr w:type="spellEnd"/>
          </w:p>
          <w:p w14:paraId="7B3B9D7C" w14:textId="77777777" w:rsidR="00F75428" w:rsidRPr="00F75428" w:rsidRDefault="00F75428" w:rsidP="00F7542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F754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0ABE6D85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67C4ECC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loai_2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QUY CHẾ</w:t>
      </w:r>
      <w:bookmarkEnd w:id="6"/>
    </w:p>
    <w:p w14:paraId="29E7CCE4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loai_2_name"/>
      <w:r w:rsidRPr="00F75428">
        <w:rPr>
          <w:rFonts w:ascii="Arial" w:eastAsia="Times New Roman" w:hAnsi="Arial" w:cs="Arial"/>
          <w:color w:val="000000"/>
          <w:sz w:val="18"/>
          <w:szCs w:val="18"/>
        </w:rPr>
        <w:t>VỀ CHI NHÁNH NGÂN HÀNG NƯỚC NGOÀI, NGÂN HÀNG LIÊN DOANH HOẠT ĐỘNG TẠI VIỆT NAM</w:t>
      </w:r>
      <w:bookmarkEnd w:id="7"/>
      <w:r w:rsidRPr="00F7542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(Ban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189-HĐBT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15-6-1991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75428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</w:p>
    <w:p w14:paraId="3CAC0611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chuong_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</w:t>
      </w:r>
      <w:bookmarkEnd w:id="8"/>
    </w:p>
    <w:p w14:paraId="2E719FB4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9" w:name="chuong_1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ĐIỀU KHOẢN CHUNG</w:t>
      </w:r>
      <w:bookmarkEnd w:id="9"/>
    </w:p>
    <w:p w14:paraId="58089AF3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" w:name="dieu_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tôn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10"/>
    </w:p>
    <w:p w14:paraId="5D2D3EF5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dieu_2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11"/>
    </w:p>
    <w:p w14:paraId="2BD51F50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dieu_3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3.</w:t>
      </w:r>
      <w:bookmarkEnd w:id="12"/>
    </w:p>
    <w:p w14:paraId="2A1EFF87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13" w:name="dieu_3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13"/>
    </w:p>
    <w:p w14:paraId="023DB21E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E6D4BC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197BEDBE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lastRenderedPageBreak/>
        <w:t>Mỗi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25C5A68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dieu_4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4. -</w:t>
      </w:r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14"/>
    </w:p>
    <w:p w14:paraId="6C050D16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đô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-la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D405DF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triệu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đô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-la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8F1FFAD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dieu_5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</w:t>
      </w:r>
      <w:bookmarkEnd w:id="15"/>
    </w:p>
    <w:p w14:paraId="16EA4427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dieu_5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6"/>
    </w:p>
    <w:p w14:paraId="3445376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E6B3CD6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chuong_2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2:</w:t>
      </w:r>
      <w:bookmarkEnd w:id="17"/>
    </w:p>
    <w:p w14:paraId="5309D673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8" w:name="chuong_2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THỦ TỤC, ĐIỀU KIỆN CẤP GIẤY PHÉP VÀ THỜI HẠN KHAI TRƯƠNG</w:t>
      </w:r>
      <w:bookmarkEnd w:id="18"/>
    </w:p>
    <w:p w14:paraId="3B74EB85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" w:name="dieu_6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6.</w:t>
      </w:r>
      <w:bookmarkEnd w:id="19"/>
    </w:p>
    <w:p w14:paraId="0F7C1CD2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20" w:name="dieu_6_name"/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0"/>
    </w:p>
    <w:p w14:paraId="276A4D0D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41ABE5F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06036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do.</w:t>
      </w:r>
    </w:p>
    <w:p w14:paraId="5EBD456E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E1D83F3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" w:name="dieu_7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21"/>
    </w:p>
    <w:p w14:paraId="6D5BD14C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ứng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76795082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lĩnh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128DD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0DD7C893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" w:name="dieu_8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8.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gram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2"/>
    </w:p>
    <w:p w14:paraId="2A36589D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" w:name="dieu_9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xem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3"/>
    </w:p>
    <w:p w14:paraId="01F25522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4" w:name="dieu_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Điều10. 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Sau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24"/>
    </w:p>
    <w:p w14:paraId="48B8A183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0, 2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hai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nghìn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E190637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" w:name="khoan_1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b)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100%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khai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;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khai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chậm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6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25"/>
    </w:p>
    <w:p w14:paraId="511064D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5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F9657E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" w:name="dieu_1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11. 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Sau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6"/>
    </w:p>
    <w:p w14:paraId="06B7875E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" w:name="dieu_12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12. 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nhượng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7"/>
    </w:p>
    <w:p w14:paraId="49D0C68A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8" w:name="chuong_3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3:</w:t>
      </w:r>
      <w:bookmarkEnd w:id="28"/>
    </w:p>
    <w:p w14:paraId="695D681C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9" w:name="chuong_3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NỘI DUNG VÀ PHẠM VI HOẠT ĐỘNG</w:t>
      </w:r>
      <w:bookmarkEnd w:id="29"/>
    </w:p>
    <w:p w14:paraId="3F6FDB0E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0" w:name="dieu_13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13.</w:t>
      </w:r>
      <w:bookmarkEnd w:id="30"/>
    </w:p>
    <w:p w14:paraId="41337C9B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1" w:name="dieu_13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1"/>
    </w:p>
    <w:p w14:paraId="6F401BF3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097D2AB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Cho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21DCAEFC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2A31C0BB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51BB8ED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Thanh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khẩu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23639DD5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3FAAB20C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127D3CA5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698C47F3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Chiết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khấu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45B1367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3A82DFAD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chuyển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49CBBA0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AC71A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9064EA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2" w:name="dieu_14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14.</w:t>
      </w:r>
      <w:bookmarkEnd w:id="32"/>
    </w:p>
    <w:p w14:paraId="477C31A9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33" w:name="dieu_14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3"/>
    </w:p>
    <w:p w14:paraId="0289F345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ngắn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01464D80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Cho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ngắn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0117DA2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Chiết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khấu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0B18F2EA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572BBF2C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Thanh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,</w:t>
      </w:r>
    </w:p>
    <w:p w14:paraId="4451E7E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53ABB66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4" w:name="khoan_2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nguồn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vượt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4"/>
    </w:p>
    <w:p w14:paraId="09340529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5" w:name="dieu_15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15. 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dư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vượt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5"/>
    </w:p>
    <w:p w14:paraId="2BB6A5DA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6" w:name="dieu_16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16. </w:t>
      </w:r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36"/>
    </w:p>
    <w:p w14:paraId="19055944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7" w:name="khoan_3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a)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uỷ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trì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ở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trữ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thiểu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bắt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buộc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7"/>
    </w:p>
    <w:p w14:paraId="7D3E3A9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Tuân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rủi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dồn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75B08ED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20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A7243FD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hùn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10%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ty,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hùn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CA71D3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Niêm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yết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218E52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f)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01BF41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g)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Trích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5%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ròng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B6FF7E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h)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Trích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10%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ròng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đắp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rủi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100%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18692AB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8" w:name="chuong_4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4:</w:t>
      </w:r>
      <w:bookmarkEnd w:id="38"/>
    </w:p>
    <w:p w14:paraId="72B568AF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9" w:name="chuong_4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TÀI CHÍNH, HẠCH TOÁN</w:t>
      </w:r>
      <w:bookmarkEnd w:id="39"/>
    </w:p>
    <w:p w14:paraId="347DF51D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0" w:name="dieu_17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17.</w:t>
      </w:r>
      <w:bookmarkEnd w:id="40"/>
    </w:p>
    <w:p w14:paraId="5F3136F8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1" w:name="dieu_17_name"/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cuối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31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1"/>
    </w:p>
    <w:p w14:paraId="7E16B556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bắt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8379E00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2" w:name="dieu_18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18. </w:t>
      </w:r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42"/>
    </w:p>
    <w:p w14:paraId="18B54649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3" w:name="dieu_19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19. 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đầy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43"/>
    </w:p>
    <w:p w14:paraId="7D5621A7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4" w:name="dieu_20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20. 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44"/>
    </w:p>
    <w:p w14:paraId="6C55FA4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396F6450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lỗ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6827E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thêm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lỗ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CFB6C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2A33B9F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tổng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lỗ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B330D80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thừa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099DBAE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5" w:name="dieu_2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21.</w:t>
      </w:r>
      <w:bookmarkEnd w:id="45"/>
    </w:p>
    <w:p w14:paraId="498D5AEE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46" w:name="dieu_21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46"/>
    </w:p>
    <w:p w14:paraId="4EE6498E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73A0B86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CF563A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82BF75D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7" w:name="chuong_5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5:</w:t>
      </w:r>
      <w:bookmarkEnd w:id="47"/>
    </w:p>
    <w:p w14:paraId="79BD9435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48" w:name="chuong_5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GIÁM SÁT, THANH TRA, XỬ LÝ VI PHẠM VÀ TRANH CHẤP</w:t>
      </w:r>
      <w:bookmarkEnd w:id="48"/>
    </w:p>
    <w:p w14:paraId="78EBA4E5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9" w:name="dieu_22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22.</w:t>
      </w:r>
      <w:bookmarkEnd w:id="49"/>
    </w:p>
    <w:p w14:paraId="0321D7E9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0" w:name="dieu_22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tệ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hối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0"/>
    </w:p>
    <w:p w14:paraId="4464BCB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thọ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A8A5BA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1" w:name="dieu_23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23. 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vi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47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ty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51"/>
    </w:p>
    <w:p w14:paraId="4BEABAF8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2" w:name="dieu_24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24.</w:t>
      </w:r>
      <w:bookmarkEnd w:id="52"/>
    </w:p>
    <w:p w14:paraId="0713933D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53" w:name="dieu_24_name"/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53"/>
    </w:p>
    <w:p w14:paraId="1504482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6050D476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F399F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thoả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thức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669688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giữa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lệnh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A9DEA3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4" w:name="chuong_6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6:</w:t>
      </w:r>
      <w:bookmarkEnd w:id="54"/>
    </w:p>
    <w:p w14:paraId="50CED72D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55" w:name="chuong_6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THAY ĐỔI, GIA HẠN, CHẤM DỨT HOẠT ĐỘNG VÀ THANH LÝ</w:t>
      </w:r>
      <w:bookmarkEnd w:id="55"/>
    </w:p>
    <w:p w14:paraId="2A21A986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6" w:name="dieu_25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25. 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muốn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xin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thúc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6"/>
    </w:p>
    <w:p w14:paraId="68713ACA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7" w:name="dieu_26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26. 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những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hồi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lệnh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ty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57"/>
    </w:p>
    <w:p w14:paraId="5AE951AA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8" w:name="dieu_27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27.</w:t>
      </w:r>
      <w:bookmarkEnd w:id="58"/>
    </w:p>
    <w:p w14:paraId="43EED161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59" w:name="dieu_27_name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gọi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chung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tiến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  <w:bookmarkEnd w:id="59"/>
    </w:p>
    <w:p w14:paraId="3BE36249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3E6184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0" w:name="dieu_28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28.</w:t>
      </w:r>
      <w:bookmarkEnd w:id="60"/>
    </w:p>
    <w:p w14:paraId="7D2FB401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61" w:name="dieu_28_name"/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chấm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5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yếu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61"/>
    </w:p>
    <w:p w14:paraId="2A198D4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314D29C5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dưới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784829A7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do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thọ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72E9A0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2" w:name="dieu_29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29. 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chia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chuyển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vốn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để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chấm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dứt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nộp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đầy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tiền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còn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thiếu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ưu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Nam;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ở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thuê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Nam;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nhượng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trụ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sở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ở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xây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dựng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hoặc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mua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Nam.</w:t>
      </w:r>
      <w:bookmarkEnd w:id="62"/>
    </w:p>
    <w:p w14:paraId="6A795FA3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3" w:name="dieu_30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30. 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xong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63"/>
    </w:p>
    <w:p w14:paraId="4D56D91D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1. Chi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tục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huỷ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7D412C4" w14:textId="77777777" w:rsidR="00F75428" w:rsidRPr="00F75428" w:rsidRDefault="00F75428" w:rsidP="00F7542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loại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cáo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lưu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trữ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DE0ABE4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4" w:name="chuong_7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7:</w:t>
      </w:r>
      <w:bookmarkEnd w:id="64"/>
    </w:p>
    <w:p w14:paraId="6F2F16A1" w14:textId="77777777" w:rsidR="00F75428" w:rsidRPr="00F75428" w:rsidRDefault="00F75428" w:rsidP="00F7542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65" w:name="chuong_7_name"/>
      <w:r w:rsidRPr="00F75428">
        <w:rPr>
          <w:rFonts w:ascii="Arial" w:eastAsia="Times New Roman" w:hAnsi="Arial" w:cs="Arial"/>
          <w:b/>
          <w:bCs/>
          <w:color w:val="000000"/>
          <w:sz w:val="24"/>
          <w:szCs w:val="24"/>
        </w:rPr>
        <w:t>ĐIỀU KHOẢN CUỐI CÙNG</w:t>
      </w:r>
      <w:bookmarkEnd w:id="65"/>
    </w:p>
    <w:p w14:paraId="7C83FF4B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6" w:name="dieu_31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31. 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66"/>
    </w:p>
    <w:p w14:paraId="6EE5D428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7" w:name="dieu_32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32. 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67"/>
    </w:p>
    <w:p w14:paraId="020902BD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8" w:name="dieu_33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</w:rPr>
        <w:t>33.</w:t>
      </w:r>
      <w:r w:rsidRPr="00F75428">
        <w:rPr>
          <w:rFonts w:ascii="Arial" w:eastAsia="Times New Roman" w:hAnsi="Arial" w:cs="Arial"/>
          <w:color w:val="000000"/>
          <w:sz w:val="18"/>
          <w:szCs w:val="18"/>
        </w:rPr>
        <w:t>Chi</w:t>
      </w:r>
      <w:proofErr w:type="gram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phép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hạn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điểm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chưa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hàng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68"/>
    </w:p>
    <w:p w14:paraId="2EBAB80C" w14:textId="77777777" w:rsidR="00F75428" w:rsidRPr="00F75428" w:rsidRDefault="00F75428" w:rsidP="00F75428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9" w:name="dieu_34"/>
      <w:proofErr w:type="spellStart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F75428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34. 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sửa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đổi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bổ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sung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này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Hội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trưởng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quyết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F75428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69"/>
    </w:p>
    <w:p w14:paraId="4A1349B6" w14:textId="77777777" w:rsidR="00B75D57" w:rsidRDefault="00B75D57">
      <w:bookmarkStart w:id="70" w:name="_GoBack"/>
      <w:bookmarkEnd w:id="7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28"/>
    <w:rsid w:val="00B75D57"/>
    <w:rsid w:val="00F7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D847"/>
  <w15:chartTrackingRefBased/>
  <w15:docId w15:val="{F58DC913-0184-458B-AA61-A4DC82E5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428"/>
    <w:rPr>
      <w:b/>
      <w:bCs/>
    </w:rPr>
  </w:style>
  <w:style w:type="character" w:customStyle="1" w:styleId="msonormal0">
    <w:name w:val="msonormal0"/>
    <w:basedOn w:val="DefaultParagraphFont"/>
    <w:rsid w:val="00F7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12665</Characters>
  <Application>Microsoft Office Word</Application>
  <DocSecurity>0</DocSecurity>
  <Lines>105</Lines>
  <Paragraphs>29</Paragraphs>
  <ScaleCrop>false</ScaleCrop>
  <Company/>
  <LinksUpToDate>false</LinksUpToDate>
  <CharactersWithSpaces>14857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2022-07-21T02:10:00Z</dcterms:created>
  <dcterms:modified xsi:type="dcterms:W3CDTF">2022-07-21T02:10:00Z</dcterms:modified>
</cp:coreProperties>
</file>