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B16D49" w14:paraId="62DF2CCC"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54D800F" w14:textId="77777777" w:rsidR="00B16D49" w:rsidRDefault="00B16D49">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936B58A" w14:textId="77777777" w:rsidR="00B16D49" w:rsidRDefault="00B16D49">
            <w:pPr>
              <w:jc w:val="center"/>
            </w:pPr>
            <w:r>
              <w:rPr>
                <w:b/>
                <w:bCs/>
              </w:rPr>
              <w:t>CỘNG HOÀ XÃ HỘI CHỦ NGHĨA VIỆT NAM</w:t>
            </w:r>
            <w:r>
              <w:rPr>
                <w:b/>
                <w:bCs/>
              </w:rPr>
              <w:br/>
              <w:t>Độc lập - Tự do - Hạnh phúc</w:t>
            </w:r>
            <w:r>
              <w:rPr>
                <w:b/>
                <w:bCs/>
              </w:rPr>
              <w:br/>
              <w:t>********</w:t>
            </w:r>
          </w:p>
        </w:tc>
      </w:tr>
      <w:tr w:rsidR="00B16D49" w14:paraId="2EB1643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26C67AC2" w14:textId="77777777" w:rsidR="00B16D49" w:rsidRDefault="00B16D49">
            <w:pPr>
              <w:jc w:val="center"/>
            </w:pPr>
            <w:r>
              <w:t>Số: 52-CP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760267D" w14:textId="77777777" w:rsidR="00B16D49" w:rsidRDefault="00B16D49">
            <w:pPr>
              <w:jc w:val="right"/>
            </w:pPr>
            <w:r>
              <w:rPr>
                <w:i/>
                <w:iCs/>
              </w:rPr>
              <w:t>Hà Nội, ngày 09 tháng 9 năm 1996</w:t>
            </w:r>
          </w:p>
        </w:tc>
      </w:tr>
    </w:tbl>
    <w:p w14:paraId="665EBE3D" w14:textId="77777777" w:rsidR="00B16D49" w:rsidRDefault="00B16D49">
      <w:pPr>
        <w:spacing w:after="120"/>
      </w:pPr>
      <w:r>
        <w:t> </w:t>
      </w:r>
    </w:p>
    <w:p w14:paraId="5BB51AB3" w14:textId="77777777" w:rsidR="00B16D49" w:rsidRDefault="00B16D49">
      <w:pPr>
        <w:spacing w:after="120"/>
        <w:jc w:val="center"/>
      </w:pPr>
      <w:r>
        <w:rPr>
          <w:b/>
          <w:bCs/>
        </w:rPr>
        <w:t>NGHỊ ĐỊNH</w:t>
      </w:r>
    </w:p>
    <w:p w14:paraId="4DCE3E7C" w14:textId="77777777" w:rsidR="00B16D49" w:rsidRDefault="00B16D49">
      <w:pPr>
        <w:spacing w:after="120"/>
        <w:jc w:val="center"/>
      </w:pPr>
      <w:r>
        <w:t>CỦA CHÍNH PHỦ SỐ 52-CP NGÀY 9 THÁNG 9 NĂM 1996 VỀ VIỆC ĐIỀU CHỈNH MỨC THUẾ MÔN BÀI</w:t>
      </w:r>
    </w:p>
    <w:p w14:paraId="7C4005BE" w14:textId="77777777" w:rsidR="00B16D49" w:rsidRDefault="00B16D49">
      <w:pPr>
        <w:spacing w:after="120"/>
        <w:jc w:val="center"/>
      </w:pPr>
      <w:r>
        <w:rPr>
          <w:b/>
          <w:bCs/>
        </w:rPr>
        <w:t>CHÍNH PHỦ</w:t>
      </w:r>
    </w:p>
    <w:p w14:paraId="3F293D0A" w14:textId="77777777" w:rsidR="00B16D49" w:rsidRDefault="00B16D49">
      <w:pPr>
        <w:spacing w:after="120"/>
      </w:pPr>
      <w:r>
        <w:rPr>
          <w:i/>
          <w:iCs/>
        </w:rPr>
        <w:t>Căn cứ Luật Tổ chức Chính phủ ngày 30 tháng 9 năm 1992;</w:t>
      </w:r>
      <w:r>
        <w:br/>
      </w:r>
      <w:r>
        <w:rPr>
          <w:i/>
          <w:iCs/>
        </w:rPr>
        <w:t>Căn cứ Điều lệ thuế công thương nghiệp ban hành kèm theo Quyết định số 200/NQ-TVQH ngày 18 tháng 1 năm 1966 của Uỷ ban Thường vụ Quốc hội, Pháp lệnh ngày 3 tháng 3 năm 1989 của Hội đồng Nhà nước sửa đổi, bổ sung một số điều trong các Pháp lệnh, Điều lệ về thuế công nghiệp và thuế hàng hoá, Nghị quyết số 473/NQ-HĐNN ngày 10 tháng 9 năm 1991 của Hội đồng Nhà nước về thuế môn bài và thuế sát sinh;</w:t>
      </w:r>
      <w:r>
        <w:br/>
      </w:r>
      <w:r>
        <w:rPr>
          <w:i/>
          <w:iCs/>
        </w:rPr>
        <w:t>Căn cứ mức trượt giá từ 1994 đến nay;</w:t>
      </w:r>
      <w:r>
        <w:br/>
      </w:r>
      <w:r>
        <w:rPr>
          <w:i/>
          <w:iCs/>
        </w:rPr>
        <w:t>Theo đề nghị của Bộ trưởng Bộ Tài chính,</w:t>
      </w:r>
    </w:p>
    <w:p w14:paraId="2C177B94" w14:textId="77777777" w:rsidR="00B16D49" w:rsidRDefault="00B16D49">
      <w:pPr>
        <w:spacing w:after="120"/>
        <w:jc w:val="center"/>
      </w:pPr>
      <w:r>
        <w:rPr>
          <w:b/>
          <w:bCs/>
        </w:rPr>
        <w:t>NGHỊ ĐỊNH:</w:t>
      </w:r>
    </w:p>
    <w:p w14:paraId="1BECB988" w14:textId="77777777" w:rsidR="00B16D49" w:rsidRDefault="00B16D49">
      <w:pPr>
        <w:spacing w:after="120"/>
      </w:pPr>
      <w:r>
        <w:rPr>
          <w:b/>
          <w:bCs/>
        </w:rPr>
        <w:t>Điều 1.-</w:t>
      </w:r>
      <w:r>
        <w:t xml:space="preserve"> Từ năm 1997 các tổ chức và cá nhân kinh doanh nộp thuế môn bài theo các mức sau: 850.000 đ, 550.000 đ, 325.000 đ, 165.000 đ , 60.000 đ, 25.000 đ. Bộ Tài chính hướng dẫn cụ thể căn cứ tính thuế môn bài theo các mức trên.</w:t>
      </w:r>
    </w:p>
    <w:p w14:paraId="639644EF" w14:textId="77777777" w:rsidR="00B16D49" w:rsidRDefault="00B16D49">
      <w:pPr>
        <w:spacing w:after="120"/>
      </w:pPr>
      <w:r>
        <w:rPr>
          <w:b/>
          <w:bCs/>
        </w:rPr>
        <w:t>Điều 2.-</w:t>
      </w:r>
      <w:r>
        <w:t xml:space="preserve"> Nghị định này có hiệu lực thi hành từ ngày ký, thay thế các mức thuế môn bài quy định tại Nghị định số 180/CP ngày 7 tháng 11 năm1994 của Chính phủ.</w:t>
      </w:r>
    </w:p>
    <w:p w14:paraId="16DF7D50" w14:textId="77777777" w:rsidR="00B16D49" w:rsidRDefault="00B16D49">
      <w:pPr>
        <w:spacing w:after="120"/>
      </w:pPr>
      <w:r>
        <w:rPr>
          <w:b/>
          <w:bCs/>
        </w:rPr>
        <w:t>Điều 3.-</w:t>
      </w:r>
      <w:r>
        <w:t xml:space="preserve"> Các Bộ trưởng, Thủ trưởng cơ quan ngang Bộ, Thủ trưởng cơ quan thuộc Chính phủ, Chủ tịch Uỷ ban nhân dân tỉnh, thành phố trực thuộc Trung ương chịu trách nhiệm thi hành Nghị định này.</w:t>
      </w:r>
    </w:p>
    <w:p w14:paraId="16D71C8A" w14:textId="77777777" w:rsidR="00B16D49" w:rsidRDefault="00B16D4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B16D49" w14:paraId="4098551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56E8FA1" w14:textId="77777777" w:rsidR="00B16D49" w:rsidRDefault="00B16D49">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D8907DB" w14:textId="77777777" w:rsidR="00B16D49" w:rsidRDefault="00B16D49">
            <w:pPr>
              <w:spacing w:after="120"/>
              <w:jc w:val="center"/>
            </w:pPr>
            <w:r>
              <w:rPr>
                <w:b/>
                <w:bCs/>
              </w:rPr>
              <w:t>Phan Văn Khải</w:t>
            </w:r>
          </w:p>
          <w:p w14:paraId="5CFF1368" w14:textId="77777777" w:rsidR="00B16D49" w:rsidRDefault="00B16D49">
            <w:pPr>
              <w:jc w:val="center"/>
            </w:pPr>
            <w:r>
              <w:t>(Đã ký)</w:t>
            </w:r>
          </w:p>
        </w:tc>
      </w:tr>
    </w:tbl>
    <w:p w14:paraId="2F066605" w14:textId="77777777" w:rsidR="00B16D49" w:rsidRDefault="00B16D49">
      <w:pPr>
        <w:spacing w:after="120"/>
      </w:pPr>
      <w:r>
        <w:t> </w:t>
      </w:r>
    </w:p>
    <w:sectPr w:rsidR="00B16D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C2"/>
    <w:rsid w:val="00011034"/>
    <w:rsid w:val="000950C2"/>
    <w:rsid w:val="00B16D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9E0A7"/>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1392</CharactersWithSpaces>
  <SharedDoc>false</SharedDoc>
  <HyperlinkBase>http://vanbanphapluat.co/nghi-dinh-52-cp-dieu-chinh-muc-thue-mon-bai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2022-07-25T02:37:00Z</dcterms:created>
  <dcterms:modified xsi:type="dcterms:W3CDTF">2022-07-25T02:37:00Z</dcterms:modified>
</cp:coreProperties>
</file>