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13596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BỘ Y TẾ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6062</w:t>
            </w:r>
            <w:r>
              <w:rPr>
                <w:lang w:val="vi-VN"/>
              </w:rPr>
              <w:t>/QĐ-BYT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29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2017</w:t>
            </w:r>
          </w:p>
        </w:tc>
      </w:tr>
    </w:tbl>
    <w:p w:rsidR="00000000" w:rsidRDefault="00713596">
      <w:pPr>
        <w:spacing w:before="120" w:after="280" w:afterAutospacing="1"/>
      </w:pPr>
      <w:r>
        <w:t> </w:t>
      </w:r>
    </w:p>
    <w:p w:rsidR="00000000" w:rsidRDefault="00713596">
      <w:pPr>
        <w:spacing w:before="120" w:after="280" w:afterAutospacing="1"/>
        <w:jc w:val="center"/>
      </w:pPr>
      <w:bookmarkStart w:id="1" w:name="loai_1"/>
      <w:r>
        <w:rPr>
          <w:b/>
          <w:bCs/>
          <w:lang w:val="vi-VN"/>
        </w:rPr>
        <w:t>QUYẾT ĐỊNH</w:t>
      </w:r>
      <w:bookmarkEnd w:id="1"/>
    </w:p>
    <w:p w:rsidR="00000000" w:rsidRDefault="00713596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BAN HÀNH TIÊU CHÍ PHÂN TUYẾN CHUYÊN MÔN KỸ THUẬT VÀ XẾP HẠNG TƯƠNG ĐƯƠNG ĐỐI VỚI CÁC CƠ SỞ KHÁM</w:t>
      </w:r>
      <w:r>
        <w:rPr>
          <w:lang w:val="vi-VN"/>
        </w:rPr>
        <w:t xml:space="preserve"> BỆNH, CHỮA BỆNH TƯ NHÂN</w:t>
      </w:r>
      <w:bookmarkEnd w:id="2"/>
    </w:p>
    <w:p w:rsidR="00000000" w:rsidRDefault="00713596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Y TẾ</w:t>
      </w:r>
    </w:p>
    <w:p w:rsidR="00000000" w:rsidRDefault="00713596">
      <w:pPr>
        <w:spacing w:before="120" w:after="280" w:afterAutospacing="1"/>
      </w:pPr>
      <w:r>
        <w:rPr>
          <w:i/>
          <w:iCs/>
          <w:lang w:val="vi-VN"/>
        </w:rPr>
        <w:t>Căn cứ Nghị định số 75/2017/NĐ-CP ngày 20 tháng 6 năm 2017 của Chính phủ quy định chức năng, nhiệm vụ, q</w:t>
      </w:r>
      <w:r>
        <w:rPr>
          <w:i/>
          <w:iCs/>
        </w:rPr>
        <w:t>uy</w:t>
      </w:r>
      <w:r>
        <w:rPr>
          <w:i/>
          <w:iCs/>
          <w:lang w:val="vi-VN"/>
        </w:rPr>
        <w:t>ền hạn và cơ cấu tổ chức của Bộ Y tế;</w:t>
      </w:r>
    </w:p>
    <w:p w:rsidR="00000000" w:rsidRDefault="00713596">
      <w:pPr>
        <w:spacing w:before="120" w:after="280" w:afterAutospacing="1"/>
      </w:pPr>
      <w:r>
        <w:rPr>
          <w:i/>
          <w:iCs/>
          <w:lang w:val="vi-VN"/>
        </w:rPr>
        <w:t>Căn cứ Thôn</w:t>
      </w:r>
      <w:r>
        <w:rPr>
          <w:i/>
          <w:iCs/>
        </w:rPr>
        <w:t xml:space="preserve">g </w:t>
      </w:r>
      <w:r>
        <w:rPr>
          <w:i/>
          <w:iCs/>
          <w:lang w:val="vi-VN"/>
        </w:rPr>
        <w:t>tư số 43/2013/TT-BYT ngày 11 thán</w:t>
      </w:r>
      <w:r>
        <w:rPr>
          <w:i/>
          <w:iCs/>
        </w:rPr>
        <w:t xml:space="preserve">g </w:t>
      </w:r>
      <w:r>
        <w:rPr>
          <w:i/>
          <w:iCs/>
          <w:lang w:val="vi-VN"/>
        </w:rPr>
        <w:t>12 năm 2013 của Bộ tr</w:t>
      </w:r>
      <w:r>
        <w:rPr>
          <w:i/>
          <w:iCs/>
          <w:lang w:val="vi-VN"/>
        </w:rPr>
        <w:t>ưởng Bộ Y t</w:t>
      </w:r>
      <w:r>
        <w:rPr>
          <w:i/>
          <w:iCs/>
        </w:rPr>
        <w:t xml:space="preserve">ế </w:t>
      </w:r>
      <w:r>
        <w:rPr>
          <w:i/>
          <w:iCs/>
          <w:lang w:val="vi-VN"/>
        </w:rPr>
        <w:t>Quy định chi tiết phân tuyến chuyên môn kỹ thuật đối với hệ thống cơ sở khám bệnh, chữa bệnh;</w:t>
      </w:r>
    </w:p>
    <w:p w:rsidR="00000000" w:rsidRDefault="00713596">
      <w:pPr>
        <w:spacing w:before="120" w:after="280" w:afterAutospacing="1"/>
      </w:pPr>
      <w:r>
        <w:rPr>
          <w:i/>
          <w:iCs/>
          <w:lang w:val="vi-VN"/>
        </w:rPr>
        <w:t>Căn cứ Thông tư số 21/2017/TT-BYT ngày 05 tháng 10 năm 2017 sửa đổi, bổ sung danh mục kỹ thuật ban hành kèm theo Thông tư số 43/2013/TT-BYT ngày 11 t</w:t>
      </w:r>
      <w:r>
        <w:rPr>
          <w:i/>
          <w:iCs/>
          <w:lang w:val="vi-VN"/>
        </w:rPr>
        <w:t>hán</w:t>
      </w:r>
      <w:r>
        <w:rPr>
          <w:i/>
          <w:iCs/>
        </w:rPr>
        <w:t xml:space="preserve">g </w:t>
      </w:r>
      <w:r>
        <w:rPr>
          <w:i/>
          <w:iCs/>
          <w:lang w:val="vi-VN"/>
        </w:rPr>
        <w:t>12 năm 2013 của Bộ trưởng Bộ Y tế Quy định chi tiết phân tuyến chuyên môn kỹ thuật đối với hệ thống c</w:t>
      </w:r>
      <w:r>
        <w:rPr>
          <w:i/>
          <w:iCs/>
        </w:rPr>
        <w:t xml:space="preserve">ơ </w:t>
      </w:r>
      <w:r>
        <w:rPr>
          <w:i/>
          <w:iCs/>
          <w:lang w:val="vi-VN"/>
        </w:rPr>
        <w:t>sở khám bệnh, chữa bệnh;</w:t>
      </w:r>
    </w:p>
    <w:p w:rsidR="00000000" w:rsidRDefault="00713596">
      <w:pPr>
        <w:spacing w:before="120" w:after="280" w:afterAutospacing="1"/>
      </w:pPr>
      <w:r>
        <w:rPr>
          <w:i/>
          <w:iCs/>
          <w:lang w:val="vi-VN"/>
        </w:rPr>
        <w:t>Theo đề nghị của Cục trưởng Cục Quản lý Khám, chữa bệnh.</w:t>
      </w:r>
    </w:p>
    <w:p w:rsidR="00000000" w:rsidRDefault="00713596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713596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</w:t>
      </w:r>
      <w:bookmarkEnd w:id="3"/>
      <w:r>
        <w:rPr>
          <w:lang w:val="vi-VN"/>
        </w:rPr>
        <w:t xml:space="preserve"> </w:t>
      </w:r>
      <w:bookmarkStart w:id="4" w:name="dieu_1_name"/>
      <w:r>
        <w:rPr>
          <w:lang w:val="vi-VN"/>
        </w:rPr>
        <w:t>Ban hành kèm theo Quyết định này Tiêu chí phân</w:t>
      </w:r>
      <w:r>
        <w:rPr>
          <w:lang w:val="vi-VN"/>
        </w:rPr>
        <w:t xml:space="preserve"> tuyến chuyên môn kỹ thuật và xếp hạng tương đương đối với các cơ sở khám bệnh, chữa bệnh tư nhân.</w:t>
      </w:r>
      <w:bookmarkEnd w:id="4"/>
    </w:p>
    <w:p w:rsidR="00000000" w:rsidRDefault="00713596">
      <w:pPr>
        <w:spacing w:before="120" w:after="280" w:afterAutospacing="1"/>
      </w:pPr>
      <w:bookmarkStart w:id="5" w:name="dieu_2"/>
      <w:r>
        <w:rPr>
          <w:b/>
          <w:bCs/>
          <w:lang w:val="vi-VN"/>
        </w:rPr>
        <w:t>Điều 2.</w:t>
      </w:r>
      <w:bookmarkEnd w:id="5"/>
      <w:r>
        <w:rPr>
          <w:lang w:val="vi-VN"/>
        </w:rPr>
        <w:t xml:space="preserve"> </w:t>
      </w:r>
      <w:bookmarkStart w:id="6" w:name="dieu_2_name"/>
      <w:r>
        <w:rPr>
          <w:lang w:val="vi-VN"/>
        </w:rPr>
        <w:t>Căn cứ vào Tiêu chí này, cơ quan nhà nước có thẩm quyền trong việc cấp giấy phép hoạt động khám bệnh, chữa bệnh (Bộ Y tế hoặc Sở Y tế) quyết định bằn</w:t>
      </w:r>
      <w:r>
        <w:rPr>
          <w:lang w:val="vi-VN"/>
        </w:rPr>
        <w:t>g văn bản tuyến chuyên môn kỹ thuật và xếp hạng tương đương cho phù hợp đối với từng cơ sở khám bệnh, chữa bệnh tư nhân.</w:t>
      </w:r>
      <w:bookmarkEnd w:id="6"/>
    </w:p>
    <w:p w:rsidR="00000000" w:rsidRDefault="00713596">
      <w:pPr>
        <w:spacing w:before="120" w:after="280" w:afterAutospacing="1"/>
      </w:pPr>
      <w:bookmarkStart w:id="7" w:name="dieu_3"/>
      <w:r>
        <w:rPr>
          <w:b/>
          <w:bCs/>
          <w:lang w:val="vi-VN"/>
        </w:rPr>
        <w:t>Điều 3.</w:t>
      </w:r>
      <w:bookmarkEnd w:id="7"/>
      <w:r>
        <w:rPr>
          <w:lang w:val="vi-VN"/>
        </w:rPr>
        <w:t xml:space="preserve"> </w:t>
      </w:r>
      <w:bookmarkStart w:id="8" w:name="dieu_3_name"/>
      <w:r>
        <w:rPr>
          <w:lang w:val="vi-VN"/>
        </w:rPr>
        <w:t>Giao Cục trưởng Cục Quản lý Khám, chữa bệnh làm đầu mối hướng dẫn các cơ quan, tổ chức, cá nhân có liên quan thực hiện Quyết đị</w:t>
      </w:r>
      <w:r>
        <w:rPr>
          <w:lang w:val="vi-VN"/>
        </w:rPr>
        <w:t>nh này.</w:t>
      </w:r>
      <w:bookmarkEnd w:id="8"/>
    </w:p>
    <w:p w:rsidR="00000000" w:rsidRDefault="00713596">
      <w:pPr>
        <w:spacing w:before="120" w:after="280" w:afterAutospacing="1"/>
      </w:pPr>
      <w:bookmarkStart w:id="9" w:name="dieu_4"/>
      <w:r>
        <w:rPr>
          <w:b/>
          <w:bCs/>
          <w:lang w:val="vi-VN"/>
        </w:rPr>
        <w:t>Điều 4.</w:t>
      </w:r>
      <w:bookmarkEnd w:id="9"/>
      <w:r>
        <w:rPr>
          <w:lang w:val="vi-VN"/>
        </w:rPr>
        <w:t xml:space="preserve"> </w:t>
      </w:r>
      <w:bookmarkStart w:id="10" w:name="dieu_4_name"/>
      <w:r>
        <w:rPr>
          <w:lang w:val="vi-VN"/>
        </w:rPr>
        <w:t>Quyết định này có hiệu lực thi hành kể từ ngày ký, ban hành.</w:t>
      </w:r>
      <w:bookmarkEnd w:id="10"/>
    </w:p>
    <w:p w:rsidR="00000000" w:rsidRDefault="00713596">
      <w:pPr>
        <w:spacing w:before="120" w:after="280" w:afterAutospacing="1"/>
      </w:pPr>
      <w:bookmarkStart w:id="11" w:name="dieu_5"/>
      <w:r>
        <w:rPr>
          <w:b/>
          <w:bCs/>
          <w:lang w:val="vi-VN"/>
        </w:rPr>
        <w:t>Điều 5.</w:t>
      </w:r>
      <w:bookmarkEnd w:id="11"/>
      <w:r>
        <w:rPr>
          <w:lang w:val="vi-VN"/>
        </w:rPr>
        <w:t xml:space="preserve"> </w:t>
      </w:r>
      <w:bookmarkStart w:id="12" w:name="dieu_5_name"/>
      <w:r>
        <w:rPr>
          <w:lang w:val="vi-VN"/>
        </w:rPr>
        <w:t>Các Ông, bà: Chánh Văn phòng Bộ, Chánh Thanh tra Bộ, Cục trưởng Cục Quản lý Khám, chữa bệnh, Vụ trưởng, Cục trưởng, Tổng cục trưởng thuộc Bộ Y tế chịu trách nhiệm thi hành</w:t>
      </w:r>
      <w:r>
        <w:rPr>
          <w:lang w:val="vi-VN"/>
        </w:rPr>
        <w:t xml:space="preserve"> Quyết định này./.</w:t>
      </w:r>
      <w:bookmarkEnd w:id="12"/>
    </w:p>
    <w:p w:rsidR="00000000" w:rsidRDefault="00713596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13596">
            <w:pPr>
              <w:spacing w:before="120" w:after="280" w:afterAutospacing="1"/>
            </w:pPr>
            <w:r>
              <w:rPr>
                <w:lang w:val="vi-VN"/>
              </w:rPr>
              <w:t> </w:t>
            </w:r>
          </w:p>
          <w:p w:rsidR="00000000" w:rsidRDefault="00713596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Văn p</w:t>
            </w:r>
            <w:r>
              <w:rPr>
                <w:sz w:val="16"/>
              </w:rPr>
              <w:t>h</w:t>
            </w:r>
            <w:r>
              <w:rPr>
                <w:sz w:val="16"/>
                <w:lang w:val="vi-VN"/>
              </w:rPr>
              <w:t>òng Chính phủ (Vụ KGVX);</w:t>
            </w:r>
            <w:r>
              <w:rPr>
                <w:sz w:val="16"/>
                <w:lang w:val="vi-VN"/>
              </w:rPr>
              <w:br/>
              <w:t>- UBND tỉnh, thành phố trực thuộc TW;</w:t>
            </w:r>
            <w:r>
              <w:rPr>
                <w:sz w:val="16"/>
                <w:lang w:val="vi-VN"/>
              </w:rPr>
              <w:br/>
              <w:t>- Bộ trưởng Bộ Y tế (để báo cáo);</w:t>
            </w:r>
            <w:r>
              <w:rPr>
                <w:sz w:val="16"/>
                <w:lang w:val="vi-VN"/>
              </w:rPr>
              <w:br/>
              <w:t>- Các Thứ trưởng Bộ Y tế (để phối hợp);</w:t>
            </w:r>
            <w:r>
              <w:rPr>
                <w:sz w:val="16"/>
                <w:lang w:val="vi-VN"/>
              </w:rPr>
              <w:br/>
              <w:t>- Sở Y tế tỉnh, thành phố trực thuộc TW;</w:t>
            </w:r>
            <w:r>
              <w:rPr>
                <w:sz w:val="16"/>
                <w:lang w:val="vi-VN"/>
              </w:rPr>
              <w:br/>
              <w:t>- Các Vụ, Cục, Văn phòng, thanh tra B</w:t>
            </w:r>
            <w:r>
              <w:rPr>
                <w:sz w:val="16"/>
                <w:lang w:val="vi-VN"/>
              </w:rPr>
              <w:t>ộ Y tế;</w:t>
            </w:r>
            <w:r>
              <w:rPr>
                <w:sz w:val="16"/>
                <w:lang w:val="vi-VN"/>
              </w:rPr>
              <w:br/>
              <w:t>- BHXHVN;</w:t>
            </w:r>
            <w:r>
              <w:rPr>
                <w:sz w:val="16"/>
                <w:lang w:val="vi-VN"/>
              </w:rPr>
              <w:br/>
              <w:t>- BHXH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thành phố trực thuộc TW;</w:t>
            </w:r>
            <w:r>
              <w:rPr>
                <w:sz w:val="16"/>
                <w:lang w:val="vi-VN"/>
              </w:rPr>
              <w:br/>
              <w:t>- Tổng hội Y học Việt Nam;</w:t>
            </w:r>
            <w:r>
              <w:rPr>
                <w:sz w:val="16"/>
                <w:lang w:val="vi-VN"/>
              </w:rPr>
              <w:br/>
              <w:t>- Hiệp hội bệnh viện tư nhân;</w:t>
            </w:r>
            <w:r>
              <w:rPr>
                <w:sz w:val="16"/>
                <w:lang w:val="vi-VN"/>
              </w:rPr>
              <w:br/>
              <w:t>- Lưu: VT, KCB.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Viết Tiến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lang w:val="vi-VN"/>
        </w:rPr>
        <w:t> </w:t>
      </w:r>
    </w:p>
    <w:p w:rsidR="00000000" w:rsidRDefault="00713596">
      <w:pPr>
        <w:spacing w:before="120" w:after="280" w:afterAutospacing="1"/>
        <w:jc w:val="center"/>
      </w:pPr>
      <w:bookmarkStart w:id="13" w:name="loai_2"/>
      <w:r>
        <w:rPr>
          <w:b/>
          <w:bCs/>
          <w:lang w:val="vi-VN"/>
        </w:rPr>
        <w:t>TIÊU CHÍ</w:t>
      </w:r>
      <w:bookmarkEnd w:id="13"/>
    </w:p>
    <w:p w:rsidR="00000000" w:rsidRDefault="00713596">
      <w:pPr>
        <w:spacing w:before="120" w:after="280" w:afterAutospacing="1"/>
        <w:jc w:val="center"/>
      </w:pPr>
      <w:bookmarkStart w:id="14" w:name="loai_2_name"/>
      <w:r>
        <w:rPr>
          <w:lang w:val="vi-VN"/>
        </w:rPr>
        <w:t>PHÂN TUYẾN CHUYÊN MÔN KỸ THUẬT VÀ XẾP HẠNG TƯƠNG ĐƯƠNG ĐỐI VỚI CÁC CƠ</w:t>
      </w:r>
      <w:r>
        <w:rPr>
          <w:lang w:val="vi-VN"/>
        </w:rPr>
        <w:t xml:space="preserve"> SỞ KHÁM BỆNH, CHỮA BỆNH TƯ NHÂN</w:t>
      </w:r>
      <w:bookmarkEnd w:id="14"/>
      <w:r>
        <w:br/>
      </w:r>
      <w:r>
        <w:rPr>
          <w:i/>
          <w:iCs/>
          <w:lang w:val="vi-VN"/>
        </w:rPr>
        <w:t>(Ban hành kèm theo Quyết định số</w:t>
      </w:r>
      <w:r>
        <w:rPr>
          <w:i/>
          <w:iCs/>
        </w:rPr>
        <w:t xml:space="preserve"> 6062</w:t>
      </w:r>
      <w:r>
        <w:rPr>
          <w:i/>
          <w:iCs/>
          <w:lang w:val="vi-VN"/>
        </w:rPr>
        <w:t>/QĐ-BYT ngày 2</w:t>
      </w:r>
      <w:r>
        <w:rPr>
          <w:i/>
          <w:iCs/>
        </w:rPr>
        <w:t>9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12 </w:t>
      </w:r>
      <w:r>
        <w:rPr>
          <w:i/>
          <w:iCs/>
          <w:lang w:val="vi-VN"/>
        </w:rPr>
        <w:t>năm 2017 của Bộ t</w:t>
      </w:r>
      <w:r>
        <w:rPr>
          <w:i/>
          <w:iCs/>
        </w:rPr>
        <w:t>r</w:t>
      </w:r>
      <w:r>
        <w:rPr>
          <w:i/>
          <w:iCs/>
          <w:lang w:val="vi-VN"/>
        </w:rPr>
        <w:t>ư</w:t>
      </w:r>
      <w:r>
        <w:rPr>
          <w:i/>
          <w:iCs/>
        </w:rPr>
        <w:t>ở</w:t>
      </w:r>
      <w:r>
        <w:rPr>
          <w:i/>
          <w:iCs/>
          <w:lang w:val="vi-VN"/>
        </w:rPr>
        <w:t>ng Bộ Y tế)</w:t>
      </w:r>
    </w:p>
    <w:p w:rsidR="00000000" w:rsidRDefault="00713596">
      <w:pPr>
        <w:spacing w:before="120" w:after="280" w:afterAutospacing="1"/>
      </w:pPr>
      <w:bookmarkStart w:id="15" w:name="muc_1"/>
      <w:r>
        <w:rPr>
          <w:b/>
          <w:bCs/>
          <w:lang w:val="vi-VN"/>
        </w:rPr>
        <w:t>I. Mục đích:</w:t>
      </w:r>
      <w:bookmarkEnd w:id="15"/>
    </w:p>
    <w:p w:rsidR="00000000" w:rsidRDefault="00713596">
      <w:pPr>
        <w:spacing w:before="120" w:after="280" w:afterAutospacing="1"/>
      </w:pPr>
      <w:r>
        <w:rPr>
          <w:lang w:val="vi-VN"/>
        </w:rPr>
        <w:t>Việc phân tuyến chuyên môn k</w:t>
      </w:r>
      <w:r>
        <w:t xml:space="preserve">ỹ </w:t>
      </w:r>
      <w:r>
        <w:rPr>
          <w:lang w:val="vi-VN"/>
        </w:rPr>
        <w:t>thuật và xếp hạng tương đương đối với các cơ sở khám bệnh, chữa bệnh tư nhân là căn cứ</w:t>
      </w:r>
      <w:r>
        <w:rPr>
          <w:lang w:val="vi-VN"/>
        </w:rPr>
        <w:t xml:space="preserve"> để thực hiện việc đăng ký khám bệnh, chữa bệnh bảo hi</w:t>
      </w:r>
      <w:r>
        <w:t>ể</w:t>
      </w:r>
      <w:r>
        <w:rPr>
          <w:lang w:val="vi-VN"/>
        </w:rPr>
        <w:t>m y tế ban đầu, ký hợp đồng khám bệnh, chữa bệnh bảo hiểm y tế và thanh toán giá dịch vụ khám bệnh, chữa bệnh bảo hiểm y tế.</w:t>
      </w:r>
    </w:p>
    <w:p w:rsidR="00000000" w:rsidRDefault="00713596">
      <w:pPr>
        <w:spacing w:before="120" w:after="280" w:afterAutospacing="1"/>
      </w:pPr>
      <w:bookmarkStart w:id="16" w:name="muc_2"/>
      <w:r>
        <w:rPr>
          <w:b/>
          <w:bCs/>
          <w:lang w:val="vi-VN"/>
        </w:rPr>
        <w:t>II. Phân tuyến chuyên môn kỹ thuật đối với các cơ sở khám bệnh, chữa bệnh tư</w:t>
      </w:r>
      <w:r>
        <w:rPr>
          <w:b/>
          <w:bCs/>
          <w:lang w:val="vi-VN"/>
        </w:rPr>
        <w:t xml:space="preserve"> nhân:</w:t>
      </w:r>
      <w:bookmarkEnd w:id="16"/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1. Căn cứ để phân tuyến chuyên môn kỹ thuật đối với các cơ sở khám b</w:t>
      </w:r>
      <w:r>
        <w:rPr>
          <w:b/>
          <w:bCs/>
        </w:rPr>
        <w:t>ệ</w:t>
      </w:r>
      <w:r>
        <w:rPr>
          <w:b/>
          <w:bCs/>
          <w:lang w:val="vi-VN"/>
        </w:rPr>
        <w:t>nh, chữa b</w:t>
      </w:r>
      <w:r>
        <w:rPr>
          <w:b/>
          <w:bCs/>
        </w:rPr>
        <w:t>ệ</w:t>
      </w:r>
      <w:r>
        <w:rPr>
          <w:b/>
          <w:bCs/>
          <w:lang w:val="vi-VN"/>
        </w:rPr>
        <w:t>nh tư nhân: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C</w:t>
      </w:r>
      <w:r>
        <w:t>ă</w:t>
      </w:r>
      <w:r>
        <w:rPr>
          <w:lang w:val="vi-VN"/>
        </w:rPr>
        <w:t>n cứ vào quy mô giường bệnh, cơ cấu lao động, trình độ nhân viên y tế, phạm vi hoạt động chuyên môn, cơ sở hạ tầng, trang thiết bị y tế, vị trí, chức năng,</w:t>
      </w:r>
      <w:r>
        <w:rPr>
          <w:lang w:val="vi-VN"/>
        </w:rPr>
        <w:t xml:space="preserve"> nhiệm vụ của cơ sở khám bệnh, chữa bệnh đ</w:t>
      </w:r>
      <w:r>
        <w:t xml:space="preserve">ể </w:t>
      </w:r>
      <w:r>
        <w:rPr>
          <w:lang w:val="vi-VN"/>
        </w:rPr>
        <w:t>phân tuyến chuyên môn k</w:t>
      </w:r>
      <w:r>
        <w:t xml:space="preserve">ỹ </w:t>
      </w:r>
      <w:r>
        <w:rPr>
          <w:lang w:val="vi-VN"/>
        </w:rPr>
        <w:t>thuật và xếp hạng tương đương đối với các cơ sở khám bệnh, chữa bệnh tư nhân.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2. Tiêu chí phân tuyến chuyên môn kỹ thuật đối với bệnh viện tư nhân: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a) Bệnh viện tư nhân được đánh giá để p</w:t>
      </w:r>
      <w:r>
        <w:rPr>
          <w:b/>
          <w:bCs/>
          <w:lang w:val="vi-VN"/>
        </w:rPr>
        <w:t>hân t</w:t>
      </w:r>
      <w:r>
        <w:rPr>
          <w:b/>
          <w:bCs/>
        </w:rPr>
        <w:t>uy</w:t>
      </w:r>
      <w:r>
        <w:rPr>
          <w:b/>
          <w:bCs/>
          <w:lang w:val="vi-VN"/>
        </w:rPr>
        <w:t>ến chuyên môn kỹ thuật theo 5 nhóm tiêu chí như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9"/>
        <w:gridCol w:w="2031"/>
      </w:tblGrid>
      <w:tr w:rsidR="00000000">
        <w:tc>
          <w:tcPr>
            <w:tcW w:w="39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t xml:space="preserve">- </w:t>
            </w:r>
            <w:r>
              <w:rPr>
                <w:lang w:val="vi-VN"/>
              </w:rPr>
              <w:t>Nhóm tiêu chí: Quy mô giường bệnh: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lang w:val="vi-VN"/>
              </w:rPr>
              <w:t>15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lastRenderedPageBreak/>
              <w:t>- Nhóm tiêu chí: Cơ cấu lao động, trình độ nhân viên y tế: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lang w:val="vi-VN"/>
              </w:rPr>
              <w:t>17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Nhóm tiêu chí: Phạm vi hoạt động chuyên môn: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lang w:val="vi-VN"/>
              </w:rPr>
              <w:t>52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 xml:space="preserve">- Nhóm tiêu chí: Cơ sở hạ </w:t>
            </w:r>
            <w:r>
              <w:rPr>
                <w:lang w:val="vi-VN"/>
              </w:rPr>
              <w:t>tầng, trang thiết bị y tế: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lang w:val="vi-VN"/>
              </w:rPr>
              <w:t>12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Nhóm tiêu chí: Vị trí, chức năng và nhiệm vụ: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lang w:val="vi-VN"/>
              </w:rPr>
              <w:t>4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b) Điểm để phân tuyến chuyên môn kỹ thuật đối với bệnh viện tư nhân như sau: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- Tuyến I: Đạt ≥ 90 điểm đến ≤ 100 điểm.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- Tuy</w:t>
      </w:r>
      <w:r>
        <w:t>ế</w:t>
      </w:r>
      <w:r>
        <w:rPr>
          <w:lang w:val="vi-VN"/>
        </w:rPr>
        <w:t>n II: Đạt ≥ 70 điểm đến &lt; 90 điểm.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- Tuy</w:t>
      </w:r>
      <w:r>
        <w:rPr>
          <w:lang w:val="vi-VN"/>
        </w:rPr>
        <w:t>ến III: Đạt ≥ 40 điểm đến &lt; 70 điểm.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- Tuyến IV: Đạt &lt; 40 điểm.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3. Bảng điểm phân tuyến chuyên môn kỹ thuật đối với bệnh viện tư nhân như sau: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3.1. Nhóm tiêu chí: Quy mô giường bệnh: 15 điểm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a) Bệnh viện đa khoa: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784"/>
        <w:gridCol w:w="2428"/>
      </w:tblGrid>
      <w:tr w:rsidR="00000000"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S</w:t>
            </w:r>
            <w:r>
              <w:t xml:space="preserve">ố </w:t>
            </w:r>
            <w:r>
              <w:rPr>
                <w:lang w:val="vi-VN"/>
              </w:rPr>
              <w:t>giường bệnh &gt; 400 giường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15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Số</w:t>
            </w:r>
            <w:r>
              <w:rPr>
                <w:lang w:val="vi-VN"/>
              </w:rPr>
              <w:t xml:space="preserve"> giường bệnh ≥ 100 giường đến ≤ 400 giường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S</w:t>
            </w:r>
            <w:r>
              <w:t xml:space="preserve">ố </w:t>
            </w:r>
            <w:r>
              <w:rPr>
                <w:lang w:val="vi-VN"/>
              </w:rPr>
              <w:t>giường bệnh ≥ 30 giường đến &lt; 100 giường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5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b) Bệnh viện chuyên khoa: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5782"/>
        <w:gridCol w:w="2426"/>
      </w:tblGrid>
      <w:tr w:rsidR="00000000"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Số giường bệnh &gt; 200 giường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15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Số giường bệnh ≥ 50 giường đến ≤ 200 giường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Số giường bệnh ≥ 10 giường đ</w:t>
            </w:r>
            <w:r>
              <w:rPr>
                <w:lang w:val="vi-VN"/>
              </w:rPr>
              <w:t>ến &lt; 50 giường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5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3.2. Nhóm tiêu chí: Cơ cấu lao động, trình độ nhân viên y tế: 17 điểm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a) Cơ cấu lao động: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6084"/>
        <w:gridCol w:w="2056"/>
      </w:tblGrid>
      <w:tr w:rsidR="00665FF2" w:rsidTr="00665FF2">
        <w:tc>
          <w:tcPr>
            <w:tcW w:w="39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Tuyển đủ lao động theo quy định:</w:t>
            </w: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Bảo đảm tuy</w:t>
            </w:r>
            <w:r>
              <w:t>ể</w:t>
            </w:r>
            <w:r>
              <w:rPr>
                <w:lang w:val="vi-VN"/>
              </w:rPr>
              <w:t>n đủ lao động theo quy định Thông tư 08/2007/TTLT-B</w:t>
            </w:r>
            <w:r>
              <w:rPr>
                <w:lang w:val="vi-VN"/>
              </w:rPr>
              <w:t>YT - BNV ngày 05 tháng 06 năm 2007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bảo đảm tuyển đủ lao động theo quy định Thông tư 08/2007/TTLT-BYT - BNV ngày 05 tháng 06 năm 2007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lang w:val="vi-VN"/>
        </w:rPr>
        <w:t>- Tỷ lệ điều dư</w:t>
      </w:r>
      <w:r>
        <w:t>ỡ</w:t>
      </w:r>
      <w:r>
        <w:rPr>
          <w:lang w:val="vi-VN"/>
        </w:rPr>
        <w:t>ng trên 01 bác sỹ tại các khoa lâm sàng: 2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6078"/>
        <w:gridCol w:w="2058"/>
      </w:tblGrid>
      <w:tr w:rsidR="00000000"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Tỷ lệ Điều dưỡng trên 01 bác sỹ ở</w:t>
            </w:r>
            <w:r>
              <w:rPr>
                <w:lang w:val="vi-VN"/>
              </w:rPr>
              <w:t xml:space="preserve"> các khoa lâm sàng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t xml:space="preserve">            </w:t>
            </w:r>
            <w:r>
              <w:rPr>
                <w:lang w:val="vi-VN"/>
              </w:rPr>
              <w:t>- ≥ 02 trở lên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</w:pPr>
            <w:r>
              <w:t xml:space="preserve">            </w:t>
            </w:r>
            <w:r>
              <w:rPr>
                <w:lang w:val="vi-VN"/>
              </w:rPr>
              <w:t>- &lt; 02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lang w:val="vi-VN"/>
        </w:rPr>
        <w:t>- Tỷ lệ nhân viên y tế chuyên môn của khu vực lâm sàng, cận lâm sàng trên t</w:t>
      </w:r>
      <w:r>
        <w:t>ổ</w:t>
      </w:r>
      <w:r>
        <w:rPr>
          <w:lang w:val="vi-VN"/>
        </w:rPr>
        <w:t>ng s</w:t>
      </w:r>
      <w:r>
        <w:t xml:space="preserve">ố </w:t>
      </w:r>
      <w:r>
        <w:rPr>
          <w:lang w:val="vi-VN"/>
        </w:rPr>
        <w:t>người làm việc chuyên môn của cơ sở khám bệnh, chữa bệnh: 1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6418"/>
        <w:gridCol w:w="2300"/>
      </w:tblGrid>
      <w:tr w:rsidR="00000000"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Từ 75% tổng số nh</w:t>
            </w:r>
            <w:r>
              <w:rPr>
                <w:lang w:val="vi-VN"/>
              </w:rPr>
              <w:t>ân viên y tế tr</w:t>
            </w:r>
            <w:r>
              <w:t>ở lê</w:t>
            </w:r>
            <w:r>
              <w:rPr>
                <w:lang w:val="vi-VN"/>
              </w:rPr>
              <w:t>n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: - Dưới 75% tổng số nhân viên y tế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 xml:space="preserve">0,5 </w:t>
            </w:r>
            <w:r>
              <w:t>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b) Trình độ nhân viên y tế: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- Người chịu trách nhiệm chu</w:t>
      </w:r>
      <w:r>
        <w:t>yê</w:t>
      </w:r>
      <w:r>
        <w:rPr>
          <w:lang w:val="vi-VN"/>
        </w:rPr>
        <w:t>n môn kỹ thuật của cơ sở: 3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5784"/>
        <w:gridCol w:w="2424"/>
      </w:tblGrid>
      <w:tr w:rsidR="00000000"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Trình độ chuyên môn sau đại học; có chứng ch</w:t>
            </w:r>
            <w:r>
              <w:t xml:space="preserve">ỉ </w:t>
            </w:r>
            <w:r>
              <w:rPr>
                <w:lang w:val="vi-VN"/>
              </w:rPr>
              <w:t xml:space="preserve">về quản lý hành chính hoặc quản lý bệnh </w:t>
            </w:r>
            <w:r>
              <w:rPr>
                <w:lang w:val="vi-VN"/>
              </w:rPr>
              <w:t>viện;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đáp ứng tiêu chuẩn trên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lang w:val="vi-VN"/>
        </w:rPr>
        <w:t>- Các trưởng khoa phụ trách chuyên môn kỹ thuật của khoa: 3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5219"/>
        <w:gridCol w:w="2992"/>
      </w:tblGrid>
      <w:tr w:rsidR="00000000"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&gt; 60% có trình độ tiến sĩ/ chuyên khoa 2, còn lại tối thiểu trình độ đại học</w:t>
            </w:r>
          </w:p>
        </w:tc>
        <w:tc>
          <w:tcPr>
            <w:tcW w:w="1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Từ ≥ 20% đến ≤ 60% có trình độ sau đại học còn l</w:t>
            </w:r>
            <w:r>
              <w:rPr>
                <w:lang w:val="vi-VN"/>
              </w:rPr>
              <w:t>ại là trình độ đại học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&lt; 20% có trình độ sau đại học còn lại là trình độ đại học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lang w:val="vi-VN"/>
        </w:rPr>
        <w:t>- Trình độ của bác s</w:t>
      </w:r>
      <w:r>
        <w:t xml:space="preserve">ỹ </w:t>
      </w:r>
      <w:r>
        <w:rPr>
          <w:lang w:val="vi-VN"/>
        </w:rPr>
        <w:t>của các khoa lâm sàng: 3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5230"/>
        <w:gridCol w:w="2972"/>
      </w:tblGrid>
      <w:tr w:rsidR="00000000"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&gt; 50% có trình độ sau đại học, còn lại là đại học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Từ ≥ 20% đến ≤ 50% có trình độ sau đại học,</w:t>
            </w:r>
            <w:r>
              <w:rPr>
                <w:lang w:val="vi-VN"/>
              </w:rPr>
              <w:t xml:space="preserve"> còn lại là đại học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&lt; 20% có trình độ sau đại học, còn lại là đại học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lang w:val="vi-VN"/>
        </w:rPr>
        <w:t>- Trình độ của điều dưỡng, hộ sinh viên, k</w:t>
      </w:r>
      <w:r>
        <w:t xml:space="preserve">ỹ </w:t>
      </w:r>
      <w:r>
        <w:rPr>
          <w:lang w:val="vi-VN"/>
        </w:rPr>
        <w:t>thuật viên hành nghề của các khoa lâm sàng: 3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225"/>
        <w:gridCol w:w="2973"/>
      </w:tblGrid>
      <w:tr w:rsidR="00000000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&gt; 20% có trình độ cao đẳng, đại học, còn lại là trung học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 xml:space="preserve">Từ </w:t>
            </w:r>
            <w:r>
              <w:rPr>
                <w:lang w:val="vi-VN"/>
              </w:rPr>
              <w:t>≥ 10% đến ≤ 20% có trình độ cao đẳng, đại học, còn lại là trung học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&lt; 10% có trình độ cao đ</w:t>
            </w:r>
            <w:r>
              <w:t>ẳ</w:t>
            </w:r>
            <w:r>
              <w:rPr>
                <w:lang w:val="vi-VN"/>
              </w:rPr>
              <w:t xml:space="preserve">ng, đại học, còn lại là trung </w:t>
            </w:r>
            <w:r>
              <w:rPr>
                <w:lang w:val="vi-VN"/>
              </w:rPr>
              <w:lastRenderedPageBreak/>
              <w:t>học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lastRenderedPageBreak/>
        <w:t>3.3. Nhóm tiêu chí: Phạm vi hoạt động chuyên môn: 52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480"/>
        <w:gridCol w:w="1951"/>
      </w:tblGrid>
      <w:tr w:rsidR="00000000"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Số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a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Các k</w:t>
            </w:r>
            <w:r>
              <w:rPr>
                <w:b/>
                <w:bCs/>
                <w:i/>
                <w:iCs/>
              </w:rPr>
              <w:t xml:space="preserve">ỹ </w:t>
            </w:r>
            <w:r>
              <w:rPr>
                <w:b/>
                <w:bCs/>
                <w:i/>
                <w:iCs/>
                <w:lang w:val="vi-VN"/>
              </w:rPr>
              <w:t xml:space="preserve">thuật chuyên môn tuyến I </w:t>
            </w:r>
            <w:r>
              <w:rPr>
                <w:b/>
                <w:bCs/>
                <w:i/>
                <w:iCs/>
                <w:lang w:val="vi-VN"/>
              </w:rPr>
              <w:t>(Chỉ tính các kỹ thuật chuyên môn mà tuyến I mới được thực hiện)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</w:t>
            </w:r>
            <w:r>
              <w:t xml:space="preserve">ỷ </w:t>
            </w:r>
            <w:r>
              <w:rPr>
                <w:lang w:val="vi-VN"/>
              </w:rPr>
              <w:t>lệ các k</w:t>
            </w:r>
            <w:r>
              <w:t xml:space="preserve">ỹ </w:t>
            </w:r>
            <w:r>
              <w:rPr>
                <w:lang w:val="vi-VN"/>
              </w:rPr>
              <w:t>thuật chuyên khoa mà bệnh viện được phê duyệt tại tuyến I đạt 100%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</w:t>
            </w:r>
            <w:r>
              <w:rPr>
                <w:lang w:val="vi-VN"/>
              </w:rPr>
              <w:t xml:space="preserve"> tại tuyến I đạt từ ≥ 70% đến &lt; 100%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</w:t>
            </w:r>
            <w:r>
              <w:t xml:space="preserve">ỹ </w:t>
            </w:r>
            <w:r>
              <w:rPr>
                <w:lang w:val="vi-VN"/>
              </w:rPr>
              <w:t>thuật chuyên khoa mà bệnh viện được phê duyệt tại tuy</w:t>
            </w:r>
            <w:r>
              <w:t>ế</w:t>
            </w:r>
            <w:r>
              <w:rPr>
                <w:lang w:val="vi-VN"/>
              </w:rPr>
              <w:t>n I đạt từ ≥ 40% đến &lt; 70% các k</w:t>
            </w:r>
            <w:r>
              <w:t xml:space="preserve">ỹ </w:t>
            </w:r>
            <w:r>
              <w:rPr>
                <w:lang w:val="vi-VN"/>
              </w:rPr>
              <w:t>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6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 xml:space="preserve">- Tỷ lệ các kỹ thuật chuyên khoa mà </w:t>
            </w:r>
            <w:r>
              <w:rPr>
                <w:lang w:val="vi-VN"/>
              </w:rPr>
              <w:t>bệnh viện được phê duyệt tại tuyến I đạt &lt; 40% các k</w:t>
            </w:r>
            <w:r>
              <w:t xml:space="preserve">ỹ </w:t>
            </w:r>
            <w:r>
              <w:rPr>
                <w:lang w:val="vi-VN"/>
              </w:rPr>
              <w:t>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4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b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Các kỹ thuật chuyên môn tuyến II (Chỉ tính các kỹ thuật chuyên môn mà tuyến II mới được thực hiện)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 t</w:t>
            </w:r>
            <w:r>
              <w:rPr>
                <w:lang w:val="vi-VN"/>
              </w:rPr>
              <w:t>ại tuyến II đạt 100%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</w:t>
            </w:r>
            <w:r>
              <w:t xml:space="preserve">ỹ </w:t>
            </w:r>
            <w:r>
              <w:rPr>
                <w:lang w:val="vi-VN"/>
              </w:rPr>
              <w:t>thuật chuyên khoa mà bệnh viện được phê duyệt tại tuyến II đạt từ ≥ 70% đến &lt; 100%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</w:t>
            </w:r>
            <w:r>
              <w:rPr>
                <w:lang w:val="vi-VN"/>
              </w:rPr>
              <w:t>c phê duyệt tại tuyến II đạt từ ≥ 40% đến &lt; 70%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6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 tại tuyến II đạt &lt; 40%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4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c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Các kỹ thuật chuyên môn tuyến III (Chỉ</w:t>
            </w:r>
            <w:r>
              <w:rPr>
                <w:b/>
                <w:bCs/>
                <w:i/>
                <w:iCs/>
                <w:lang w:val="vi-VN"/>
              </w:rPr>
              <w:t xml:space="preserve"> tính các kỹ thuật chuyên môn mà tuyến III mới được thực hiện)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 tại tuyến III đạt 100%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13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</w:t>
            </w:r>
            <w:r>
              <w:rPr>
                <w:lang w:val="vi-VN"/>
              </w:rPr>
              <w:t xml:space="preserve"> tại tuy</w:t>
            </w:r>
            <w:r>
              <w:t>ế</w:t>
            </w:r>
            <w:r>
              <w:rPr>
                <w:lang w:val="vi-VN"/>
              </w:rPr>
              <w:t>n III đạt từ ≥ 70% đến &lt; 100%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 tại tuyến III đạt từ ≥ 40% đến &lt; 70% các k</w:t>
            </w:r>
            <w:r>
              <w:t xml:space="preserve">ỹ </w:t>
            </w:r>
            <w:r>
              <w:rPr>
                <w:lang w:val="vi-VN"/>
              </w:rPr>
              <w:t>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6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</w:t>
            </w:r>
            <w:r>
              <w:rPr>
                <w:lang w:val="vi-VN"/>
              </w:rPr>
              <w:t xml:space="preserve"> mà bệnh viện được phê duyệt tại tuyến </w:t>
            </w:r>
            <w:r>
              <w:t xml:space="preserve">III </w:t>
            </w:r>
            <w:r>
              <w:rPr>
                <w:lang w:val="vi-VN"/>
              </w:rPr>
              <w:t>đạt &lt; 40%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4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lastRenderedPageBreak/>
              <w:t>d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Các kỹ thuật chuyên môn tuyến IV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</w:t>
            </w:r>
            <w:r>
              <w:t xml:space="preserve">ỹ </w:t>
            </w:r>
            <w:r>
              <w:rPr>
                <w:lang w:val="vi-VN"/>
              </w:rPr>
              <w:t>thuật chuyên khoa mà bệnh viện được phê duyệt tại tuyến IV đạt 100% các k</w:t>
            </w:r>
            <w:r>
              <w:t xml:space="preserve">ỹ </w:t>
            </w:r>
            <w:r>
              <w:rPr>
                <w:lang w:val="vi-VN"/>
              </w:rPr>
              <w:t>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13 điể</w:t>
            </w:r>
            <w:r>
              <w:rPr>
                <w:lang w:val="vi-VN"/>
              </w:rPr>
              <w:t>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 tại tuyến IV đạt từ ≥ 70% đến &lt; 100% các k</w:t>
            </w:r>
            <w:r>
              <w:t xml:space="preserve">ỹ </w:t>
            </w:r>
            <w:r>
              <w:rPr>
                <w:lang w:val="vi-VN"/>
              </w:rPr>
              <w:t>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</w:t>
            </w:r>
            <w:r>
              <w:t xml:space="preserve">ỹ </w:t>
            </w:r>
            <w:r>
              <w:rPr>
                <w:lang w:val="vi-VN"/>
              </w:rPr>
              <w:t>thuật chuyên khoa mà bệnh viện được phê duyệt tại tuyến IV đạt từ ≥ 40% đến &lt; 70% các kỹ thuật</w:t>
            </w:r>
            <w:r>
              <w:rPr>
                <w:lang w:val="vi-VN"/>
              </w:rPr>
              <w:t xml:space="preserve">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6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- Tỷ lệ các kỹ thuật chuyên khoa mà bệnh viện được phê duyệt tại tuyến IV đạt &lt; 40% các kỹ thuật của chuyên khoa đó;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4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3.4. Nhóm tiêu chí: C</w:t>
      </w:r>
      <w:r>
        <w:rPr>
          <w:b/>
          <w:bCs/>
        </w:rPr>
        <w:t xml:space="preserve">ơ </w:t>
      </w:r>
      <w:r>
        <w:rPr>
          <w:b/>
          <w:bCs/>
          <w:lang w:val="vi-VN"/>
        </w:rPr>
        <w:t>sở hạ tầng, trang thiết bị y tế: 12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6225"/>
        <w:gridCol w:w="1859"/>
      </w:tblGrid>
      <w:tr w:rsidR="00000000"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TT</w:t>
            </w:r>
          </w:p>
        </w:tc>
        <w:tc>
          <w:tcPr>
            <w:tcW w:w="3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9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Sổ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a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Nhà xây cấp I</w:t>
            </w:r>
            <w:r>
              <w:rPr>
                <w:lang w:val="vi-VN"/>
              </w:rPr>
              <w:t>I trở lên; Kiến trúc theo tiêu chu</w:t>
            </w:r>
            <w:r>
              <w:t>ẩ</w:t>
            </w:r>
            <w:r>
              <w:rPr>
                <w:lang w:val="vi-VN"/>
              </w:rPr>
              <w:t>n xây dựng, bảo đảm cơ cấu, dây chuyền hoạt động;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đáp ứng đầy đủ các tiêu chuẩn trên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b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Khu kỹ thuật (phòng m</w:t>
            </w:r>
            <w:r>
              <w:t>ổ</w:t>
            </w:r>
            <w:r>
              <w:rPr>
                <w:lang w:val="vi-VN"/>
              </w:rPr>
              <w:t xml:space="preserve">, hồi sức, phòng đẻ, phòng thực hiện các thủ thuật, kỹ thuật, phòng X quang...) đáp ứng </w:t>
            </w:r>
            <w:r>
              <w:rPr>
                <w:lang w:val="vi-VN"/>
              </w:rPr>
              <w:t>tiêu chuẩn thiết k</w:t>
            </w:r>
            <w:r>
              <w:t>ế</w:t>
            </w:r>
            <w:r>
              <w:rPr>
                <w:lang w:val="vi-VN"/>
              </w:rPr>
              <w:t>, xây dựng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đáp ứng đầy đủ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c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Tiện nghi khoa, buồng bệnh: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Bảo đảm điều kiện và tiện nghi tại các khoa, buồng bệnh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b</w:t>
            </w:r>
            <w:r>
              <w:t>ả</w:t>
            </w:r>
            <w:r>
              <w:rPr>
                <w:lang w:val="vi-VN"/>
              </w:rPr>
              <w:t xml:space="preserve">o </w:t>
            </w:r>
            <w:r>
              <w:t>đả</w:t>
            </w:r>
            <w:r>
              <w:rPr>
                <w:lang w:val="vi-VN"/>
              </w:rPr>
              <w:t xml:space="preserve">m </w:t>
            </w:r>
            <w:r>
              <w:t>đ</w:t>
            </w:r>
            <w:r>
              <w:rPr>
                <w:lang w:val="vi-VN"/>
              </w:rPr>
              <w:t>ủ điều kiện và tiện nghi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Khoa h</w:t>
            </w:r>
            <w:r>
              <w:t>ồ</w:t>
            </w:r>
            <w:r>
              <w:rPr>
                <w:lang w:val="vi-VN"/>
              </w:rPr>
              <w:t>i sức cấp cứu, phòng đẻ, phòn</w:t>
            </w:r>
            <w:r>
              <w:rPr>
                <w:lang w:val="vi-VN"/>
              </w:rPr>
              <w:t>g phẫu thuật, thủ thuật, xét nghiệm, chẩn đoán hình ảnh có điều hòa nhiệt độ.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có điều hòa nhiệt độ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Phòng hồi sức cấp cứu, phòng đẻ, phòng phẫu thuật có phương tiện gọi trực khẩn cấp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có phương tiện gọi trực khẩn cấp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t>d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Có hệ th</w:t>
            </w:r>
            <w:r>
              <w:t>ố</w:t>
            </w:r>
            <w:r>
              <w:rPr>
                <w:lang w:val="vi-VN"/>
              </w:rPr>
              <w:t>ng điện ưu tiên, an toàn, có máy phát điện: dự trữ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có hệ thống điện ưu tiên, an toàn, có máy phát điện dự trữ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t>đ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Đường giao thông nội bộ bảo đảm vệ sinh, an toàn: và thuận lợi khi vận chuy</w:t>
            </w:r>
            <w:r>
              <w:t>ể</w:t>
            </w:r>
            <w:r>
              <w:rPr>
                <w:lang w:val="vi-VN"/>
              </w:rPr>
              <w:t>n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có đườ</w:t>
            </w:r>
            <w:r>
              <w:rPr>
                <w:lang w:val="vi-VN"/>
              </w:rPr>
              <w:t>ng giao thông nội bộ bảo đảm vệ sinh, an toàn và thuận lợi khi vận chuyển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t>e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Bảo đảm cung cấp đủ nước sạch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bảo đảm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t>g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Có hệ thống xử lý chất thải rắn y tế và chất thải lỏng y tế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 xml:space="preserve">Không có hệ thống xử lý chất thải rắn </w:t>
            </w:r>
            <w:r>
              <w:rPr>
                <w:lang w:val="vi-VN"/>
              </w:rPr>
              <w:t>y tế, chất thải lỏng y tế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t>h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 w:after="280" w:afterAutospacing="1"/>
            </w:pPr>
            <w:r>
              <w:rPr>
                <w:lang w:val="vi-VN"/>
              </w:rPr>
              <w:t>Trang thiết bị y tế:</w:t>
            </w:r>
          </w:p>
          <w:p w:rsidR="00000000" w:rsidRDefault="00713596">
            <w:pPr>
              <w:spacing w:before="120"/>
            </w:pPr>
            <w:r>
              <w:rPr>
                <w:lang w:val="vi-VN"/>
              </w:rPr>
              <w:t>Bảo đảm đủ theo danh mục quy định đối với loại hình bệnh viện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Không đ</w:t>
            </w:r>
            <w:r>
              <w:t>ầ</w:t>
            </w:r>
            <w:r>
              <w:rPr>
                <w:lang w:val="vi-VN"/>
              </w:rPr>
              <w:t>y đủ theo danh mục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3.5. Nhóm tiêu chí: Vị trí, chức năng và nhiệm vụ: 4 điểm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 xml:space="preserve">a. Tham gia đào tạo và là </w:t>
      </w:r>
      <w:r>
        <w:rPr>
          <w:b/>
          <w:bCs/>
        </w:rPr>
        <w:t xml:space="preserve">cơ </w:t>
      </w:r>
      <w:r>
        <w:rPr>
          <w:b/>
          <w:bCs/>
          <w:lang w:val="vi-VN"/>
        </w:rPr>
        <w:t>sở th</w:t>
      </w:r>
      <w:r>
        <w:rPr>
          <w:b/>
          <w:bCs/>
          <w:lang w:val="vi-VN"/>
        </w:rPr>
        <w:t>ực hành của các đối tượ</w:t>
      </w:r>
      <w:r>
        <w:rPr>
          <w:b/>
          <w:bCs/>
        </w:rPr>
        <w:t>n</w:t>
      </w:r>
      <w:r>
        <w:rPr>
          <w:b/>
          <w:bCs/>
          <w:lang w:val="vi-VN"/>
        </w:rPr>
        <w:t>g sau:</w:t>
      </w:r>
      <w:r>
        <w:rPr>
          <w:lang w:val="vi-VN"/>
        </w:rPr>
        <w:t xml:space="preserve"> 2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5932"/>
        <w:gridCol w:w="2041"/>
      </w:tblGrid>
      <w:tr w:rsidR="00000000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Đại học và sau đại học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Trung học, cao đ</w:t>
            </w:r>
            <w:r>
              <w:t>ẳ</w:t>
            </w:r>
            <w:r>
              <w:rPr>
                <w:lang w:val="vi-VN"/>
              </w:rPr>
              <w:t>ng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1,5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Thực hiện tự đào tạo liên tục trong bệnh viện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b. Thực hiện nghiên cứu khoa học:</w:t>
      </w:r>
      <w:r>
        <w:rPr>
          <w:lang w:val="vi-VN"/>
        </w:rPr>
        <w:t xml:space="preserve"> 2 điểm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5932"/>
        <w:gridCol w:w="2041"/>
      </w:tblGrid>
      <w:tr w:rsidR="00000000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Có đề tài cấp Nhà nước được phê duyệt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2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 xml:space="preserve">Có đề </w:t>
            </w:r>
            <w:r>
              <w:rPr>
                <w:lang w:val="vi-VN"/>
              </w:rPr>
              <w:t>tài cấp bộ, tỉnh, thành phố trực thuộc TƯ được phê duyệt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1 điểm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</w:pPr>
            <w:r>
              <w:rPr>
                <w:lang w:val="vi-VN"/>
              </w:rPr>
              <w:t>Có đ</w:t>
            </w:r>
            <w:r>
              <w:t xml:space="preserve">ề </w:t>
            </w:r>
            <w:r>
              <w:rPr>
                <w:lang w:val="vi-VN"/>
              </w:rPr>
              <w:t>tài cấp cơ sở được phê duy</w:t>
            </w:r>
            <w:r>
              <w:t>ệ</w:t>
            </w:r>
            <w:r>
              <w:rPr>
                <w:lang w:val="vi-VN"/>
              </w:rPr>
              <w:t>t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13596">
            <w:pPr>
              <w:spacing w:before="120"/>
              <w:jc w:val="center"/>
            </w:pPr>
            <w:r>
              <w:rPr>
                <w:lang w:val="vi-VN"/>
              </w:rPr>
              <w:t>0,5 điểm</w:t>
            </w:r>
          </w:p>
        </w:tc>
      </w:tr>
    </w:tbl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4. Phân tuyến chuyên môn kỹ thuật đối với phòng khám, nhà hộ sinh tư nhân: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Các phòng khám đa khoa, chuyên khoa, nhà hộ sinh tư nhân được phân tu</w:t>
      </w:r>
      <w:r>
        <w:rPr>
          <w:lang w:val="vi-VN"/>
        </w:rPr>
        <w:t>y</w:t>
      </w:r>
      <w:r>
        <w:t>ế</w:t>
      </w:r>
      <w:r>
        <w:rPr>
          <w:lang w:val="vi-VN"/>
        </w:rPr>
        <w:t>n chuyên môn kỹ thuật tương đương tuy</w:t>
      </w:r>
      <w:r>
        <w:t>ế</w:t>
      </w:r>
      <w:r>
        <w:rPr>
          <w:lang w:val="vi-VN"/>
        </w:rPr>
        <w:t>n III theo quy định tại Thông tư s</w:t>
      </w:r>
      <w:r>
        <w:t>ố</w:t>
      </w:r>
      <w:r>
        <w:rPr>
          <w:lang w:val="vi-VN"/>
        </w:rPr>
        <w:t xml:space="preserve"> 43/2013/TT-BYT và Thông tư s</w:t>
      </w:r>
      <w:r>
        <w:t xml:space="preserve">ố </w:t>
      </w:r>
      <w:r>
        <w:rPr>
          <w:lang w:val="vi-VN"/>
        </w:rPr>
        <w:t>21/2017/TT-BYT ngày 05 tháng 10 năm 2017 s</w:t>
      </w:r>
      <w:r>
        <w:t>ử</w:t>
      </w:r>
      <w:r>
        <w:rPr>
          <w:lang w:val="vi-VN"/>
        </w:rPr>
        <w:t>a đ</w:t>
      </w:r>
      <w:r>
        <w:t>ổ</w:t>
      </w:r>
      <w:r>
        <w:rPr>
          <w:lang w:val="vi-VN"/>
        </w:rPr>
        <w:t>i, bổ sung danh mục kỹ thuật ban hành kèm theo Thông tư số 43/2013/TT-BYT ngày 11 tháng 12 năm 2013 của</w:t>
      </w:r>
      <w:r>
        <w:rPr>
          <w:lang w:val="vi-VN"/>
        </w:rPr>
        <w:t xml:space="preserve"> Bộ trưởng Bộ Y tế Quy định chi tiết phân tuyến chuyên môn kỹ thuật đối với hệ thống cơ sở khám bệnh, chữa bệnh.</w:t>
      </w:r>
    </w:p>
    <w:p w:rsidR="00000000" w:rsidRDefault="00713596">
      <w:pPr>
        <w:spacing w:before="120" w:after="280" w:afterAutospacing="1"/>
      </w:pPr>
      <w:bookmarkStart w:id="17" w:name="muc_3"/>
      <w:r>
        <w:rPr>
          <w:b/>
          <w:bCs/>
        </w:rPr>
        <w:t>III. Nguyên tắc xếp hạng tương đương đối với cơ sở khám bệnh, chữa bệnh tư nhân như sau:</w:t>
      </w:r>
      <w:bookmarkEnd w:id="17"/>
    </w:p>
    <w:p w:rsidR="00000000" w:rsidRDefault="00713596">
      <w:pPr>
        <w:spacing w:before="120" w:after="280" w:afterAutospacing="1"/>
      </w:pPr>
      <w:r>
        <w:rPr>
          <w:lang w:val="vi-VN"/>
        </w:rPr>
        <w:t>1. Các bệnh viện tư nhân được phân tuyến chuyên môn kỹ</w:t>
      </w:r>
      <w:r>
        <w:rPr>
          <w:lang w:val="vi-VN"/>
        </w:rPr>
        <w:t xml:space="preserve"> thuật của tuyến I thì được xếp hạng tương đương với bệnh viện hạng I.</w:t>
      </w:r>
    </w:p>
    <w:p w:rsidR="00000000" w:rsidRDefault="00713596">
      <w:pPr>
        <w:spacing w:before="120" w:after="280" w:afterAutospacing="1"/>
      </w:pPr>
      <w:r>
        <w:rPr>
          <w:lang w:val="vi-VN"/>
        </w:rPr>
        <w:lastRenderedPageBreak/>
        <w:t>2. Các bệnh viện tư nhân được phân tuyến chuyên môn kỹ thuật của tuyến II thì được xếp hạng tương đương với bệnh viện hạng II.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3. Các bệnh viện tư nhân được phân tuyến chuyên môn kỹ thu</w:t>
      </w:r>
      <w:r>
        <w:rPr>
          <w:lang w:val="vi-VN"/>
        </w:rPr>
        <w:t>ật của tuyến III thì được xếp hạng tương đương với bệnh viện hạng III.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4. Các bệnh viện tư nhân được phân tuyến chuyên môn kỹ thuật của tuyến IV thì được xếp hạng tương đương với bệnh viện hạng IV.</w:t>
      </w:r>
    </w:p>
    <w:p w:rsidR="00000000" w:rsidRDefault="00713596">
      <w:pPr>
        <w:spacing w:before="120" w:after="280" w:afterAutospacing="1"/>
      </w:pPr>
      <w:r>
        <w:rPr>
          <w:lang w:val="vi-VN"/>
        </w:rPr>
        <w:t>5. Các phòng khám đa khoa, chuyên khoa, nhà hộ sinh tư nhâ</w:t>
      </w:r>
      <w:r>
        <w:rPr>
          <w:lang w:val="vi-VN"/>
        </w:rPr>
        <w:t>n được phân tuy</w:t>
      </w:r>
      <w:r>
        <w:t>ế</w:t>
      </w:r>
      <w:r>
        <w:rPr>
          <w:lang w:val="vi-VN"/>
        </w:rPr>
        <w:t>n chuyên môn kỹ thuật tương đương tuyến III theo quy định tại Thông tư s</w:t>
      </w:r>
      <w:r>
        <w:t>ố</w:t>
      </w:r>
      <w:r>
        <w:rPr>
          <w:lang w:val="vi-VN"/>
        </w:rPr>
        <w:t xml:space="preserve"> 43/2013/TT-BYT và Thông tư s</w:t>
      </w:r>
      <w:r>
        <w:t xml:space="preserve">ố </w:t>
      </w:r>
      <w:r>
        <w:rPr>
          <w:lang w:val="vi-VN"/>
        </w:rPr>
        <w:t>21/2017/TT-BYT ngày 05 tháng 10 năm 2017 sửa đổi, bổ sung danh mục k</w:t>
      </w:r>
      <w:r>
        <w:t xml:space="preserve">ỹ </w:t>
      </w:r>
      <w:r>
        <w:rPr>
          <w:lang w:val="vi-VN"/>
        </w:rPr>
        <w:t>thuật ban hành kèm theo Thông tư số 43/2013/TT-BYT ngày 11 tháng 1</w:t>
      </w:r>
      <w:r>
        <w:rPr>
          <w:lang w:val="vi-VN"/>
        </w:rPr>
        <w:t>2 năm 2013 của Bộ trưởng Bộ Y tế Quy định chi tiết ph</w:t>
      </w:r>
      <w:r>
        <w:t>â</w:t>
      </w:r>
      <w:r>
        <w:rPr>
          <w:lang w:val="vi-VN"/>
        </w:rPr>
        <w:t>n tuyến chuyên môn kỹ thuật đối với hệ thống cơ sở khám bệnh, chữa bệnh được x</w:t>
      </w:r>
      <w:r>
        <w:t xml:space="preserve">ếp </w:t>
      </w:r>
      <w:r>
        <w:rPr>
          <w:lang w:val="vi-VN"/>
        </w:rPr>
        <w:t>tương đương hạng III.</w:t>
      </w:r>
    </w:p>
    <w:p w:rsidR="00000000" w:rsidRDefault="00713596">
      <w:pPr>
        <w:spacing w:before="120" w:after="280" w:afterAutospacing="1"/>
      </w:pPr>
      <w:r>
        <w:rPr>
          <w:b/>
          <w:bCs/>
          <w:lang w:val="vi-VN"/>
        </w:rPr>
        <w:t> </w:t>
      </w:r>
    </w:p>
    <w:p w:rsidR="00713596" w:rsidRDefault="00713596">
      <w:pPr>
        <w:spacing w:before="120" w:after="280" w:afterAutospacing="1"/>
      </w:pPr>
      <w:r>
        <w:rPr>
          <w:b/>
          <w:bCs/>
          <w:lang w:val="vi-VN"/>
        </w:rPr>
        <w:t> </w:t>
      </w:r>
    </w:p>
    <w:sectPr w:rsidR="007135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F2"/>
    <w:rsid w:val="00665FF2"/>
    <w:rsid w:val="0071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2022-09-26T07:20:00Z</dcterms:created>
  <dcterms:modified xsi:type="dcterms:W3CDTF">2022-09-26T07:20:00Z</dcterms:modified>
</cp:coreProperties>
</file>