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746"/>
      </w:tblGrid>
      <w:tr w:rsidR="00265A77" w:rsidRPr="00265A77" w14:paraId="7BD8D5DF" w14:textId="77777777" w:rsidTr="00265A77">
        <w:trPr>
          <w:tblCellSpacing w:w="15" w:type="dxa"/>
        </w:trPr>
        <w:tc>
          <w:tcPr>
            <w:tcW w:w="3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DFE98C" w14:textId="77777777" w:rsidR="00265A77" w:rsidRPr="00265A77" w:rsidRDefault="00265A77" w:rsidP="00265A7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65A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265A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65A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******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0F8E73" w14:textId="77777777" w:rsidR="00265A77" w:rsidRPr="00265A77" w:rsidRDefault="00265A77" w:rsidP="00265A7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65A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265A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265A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265A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265A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265A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265A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265A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265A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265A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65A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********</w:t>
            </w:r>
          </w:p>
        </w:tc>
      </w:tr>
      <w:tr w:rsidR="00265A77" w:rsidRPr="00265A77" w14:paraId="152001D0" w14:textId="77777777" w:rsidTr="00265A77">
        <w:trPr>
          <w:tblCellSpacing w:w="15" w:type="dxa"/>
        </w:trPr>
        <w:tc>
          <w:tcPr>
            <w:tcW w:w="3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91D535" w14:textId="77777777" w:rsidR="00265A77" w:rsidRPr="00265A77" w:rsidRDefault="00265A77" w:rsidP="00265A7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156/2005/NĐ-CP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AD1C36" w14:textId="77777777" w:rsidR="00265A77" w:rsidRPr="00265A77" w:rsidRDefault="00265A77" w:rsidP="00265A7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65A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265A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265A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65A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265A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15 </w:t>
            </w:r>
            <w:proofErr w:type="spellStart"/>
            <w:r w:rsidRPr="00265A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265A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12 </w:t>
            </w:r>
            <w:proofErr w:type="spellStart"/>
            <w:r w:rsidRPr="00265A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265A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2005 </w:t>
            </w:r>
          </w:p>
        </w:tc>
      </w:tr>
    </w:tbl>
    <w:p w14:paraId="07F232E7" w14:textId="77777777" w:rsidR="00265A77" w:rsidRPr="00265A77" w:rsidRDefault="00265A77" w:rsidP="00265A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65A77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71976D14" w14:textId="77777777" w:rsidR="00265A77" w:rsidRPr="00265A77" w:rsidRDefault="00265A77" w:rsidP="00265A7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265A7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96"/>
        </w:rPr>
        <w:t>NGHỊ ĐỊNH</w:t>
      </w:r>
      <w:bookmarkEnd w:id="0"/>
    </w:p>
    <w:p w14:paraId="59409C10" w14:textId="77777777" w:rsidR="00265A77" w:rsidRPr="00265A77" w:rsidRDefault="00265A77" w:rsidP="00265A7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265A77">
        <w:rPr>
          <w:rFonts w:ascii="Arial" w:eastAsia="Times New Roman" w:hAnsi="Arial" w:cs="Arial"/>
          <w:color w:val="000000"/>
          <w:sz w:val="18"/>
          <w:szCs w:val="18"/>
        </w:rPr>
        <w:t>SỬA ĐỔI, BỔ SUNG CÁC NGHỊ ĐỊNH QUY ĐỊNH CHI TIẾT THI HÀNH LUẬT THUẾ TIÊU THỤ ĐẶC BIỆT VÀ LUẬT THUẾ GIÁ TRỊ GIA TĂNG</w:t>
      </w:r>
      <w:bookmarkEnd w:id="1"/>
      <w:r w:rsidRPr="00265A77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1EAFFF23" w14:textId="77777777" w:rsidR="00265A77" w:rsidRPr="00265A77" w:rsidRDefault="00265A77" w:rsidP="00265A7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65A77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60DB95B7" w14:textId="77777777" w:rsidR="00265A77" w:rsidRPr="00265A77" w:rsidRDefault="00265A77" w:rsidP="00265A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phủ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25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12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2001;</w:t>
      </w:r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sửa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đổi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bổ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sung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một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số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điều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tiêu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thụ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đặc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biệt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và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giá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trị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gia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tăng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số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57/2005/QH11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29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11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2005;</w:t>
      </w:r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đề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nghị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Tài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265A77">
        <w:rPr>
          <w:rFonts w:ascii="Arial" w:eastAsia="Times New Roman" w:hAnsi="Arial" w:cs="Arial"/>
          <w:i/>
          <w:iCs/>
          <w:color w:val="000000"/>
          <w:sz w:val="18"/>
          <w:szCs w:val="18"/>
        </w:rPr>
        <w:t>,</w:t>
      </w:r>
    </w:p>
    <w:p w14:paraId="630B6991" w14:textId="77777777" w:rsidR="00265A77" w:rsidRPr="00265A77" w:rsidRDefault="00265A77" w:rsidP="00265A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proofErr w:type="spellStart"/>
      <w:r w:rsidRPr="00265A77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265A77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1. 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Sửa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đổi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bổ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sung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một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số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Nghị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số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bookmarkEnd w:id="2"/>
      <w:r w:rsidRPr="00265A77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265A77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"https://thuvienphapluat.vn/van-ban/thue-phi-le-phi/nghi-dinh-149-2003-nd-cp-huong-dan-luat-thue-tieu-thu-dac-biet-luat-sua-doi-bo-sung-mot-so-dieu-cua-luat-thue-tieu-thu-dac-biet-51657.aspx" \o "Nghị định 149/2003/NĐ-CP" \t "_blank" </w:instrText>
      </w:r>
      <w:r w:rsidRPr="00265A77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265A77">
        <w:rPr>
          <w:rFonts w:ascii="Arial" w:eastAsia="Times New Roman" w:hAnsi="Arial" w:cs="Arial"/>
          <w:color w:val="0E70C3"/>
          <w:sz w:val="18"/>
          <w:szCs w:val="18"/>
          <w:u w:val="single"/>
        </w:rPr>
        <w:t>149/2003/NĐ-CP</w:t>
      </w:r>
      <w:r w:rsidRPr="00265A77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r w:rsidRPr="00265A77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04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12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2003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47DDC295" w14:textId="77777777" w:rsidR="00265A77" w:rsidRPr="00265A77" w:rsidRDefault="00265A77" w:rsidP="00265A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khoan_11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1.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Khoản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1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khoản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2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5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được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sửa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đổi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bổ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sung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như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sau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:</w:t>
      </w:r>
      <w:bookmarkEnd w:id="3"/>
    </w:p>
    <w:p w14:paraId="217E9EFB" w14:textId="77777777" w:rsidR="00265A77" w:rsidRPr="00265A77" w:rsidRDefault="00265A77" w:rsidP="00265A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“1.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tăng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1A5B64A" w14:textId="77777777" w:rsidR="00265A77" w:rsidRPr="00265A77" w:rsidRDefault="00265A77" w:rsidP="00265A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cộng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(+)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giảm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bao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giảm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D4EE3B7" w14:textId="77777777" w:rsidR="00265A77" w:rsidRPr="00265A77" w:rsidRDefault="00265A77" w:rsidP="00265A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rượu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vỏ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chai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vỏ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chai.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hộp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lon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),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vỏ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hộp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lon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ấn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lít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vỏ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hộp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lon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tắc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>”.</w:t>
      </w:r>
    </w:p>
    <w:p w14:paraId="7682AB1C" w14:textId="77777777" w:rsidR="00265A77" w:rsidRPr="00265A77" w:rsidRDefault="00265A77" w:rsidP="00265A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khoan_12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6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4"/>
    </w:p>
    <w:p w14:paraId="0DEB43E4" w14:textId="77777777" w:rsidR="00265A77" w:rsidRPr="00265A77" w:rsidRDefault="00265A77" w:rsidP="00265A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65A77">
        <w:rPr>
          <w:rFonts w:ascii="Arial" w:eastAsia="Times New Roman" w:hAnsi="Arial" w:cs="Arial"/>
          <w:color w:val="000000"/>
          <w:sz w:val="18"/>
          <w:szCs w:val="18"/>
        </w:rPr>
        <w:t>“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6.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suất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59838E7" w14:textId="77777777" w:rsidR="00265A77" w:rsidRPr="00265A77" w:rsidRDefault="00265A77" w:rsidP="00265A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" w:name="khoan_6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1.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Mức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suất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đối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với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hóa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dịch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thực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hiện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theo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Biểu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tại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khoản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2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1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Luật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sửa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đổi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bổ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sung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một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số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Luật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Luật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trị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tăng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5"/>
    </w:p>
    <w:p w14:paraId="0BCBBCCE" w14:textId="77777777" w:rsidR="00265A77" w:rsidRPr="00265A77" w:rsidRDefault="00265A77" w:rsidP="00265A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suất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2216D7DF" w14:textId="77777777" w:rsidR="00265A77" w:rsidRPr="00265A77" w:rsidRDefault="00265A77" w:rsidP="00265A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suất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hay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61643FDB" w14:textId="77777777" w:rsidR="00265A77" w:rsidRPr="00265A77" w:rsidRDefault="00265A77" w:rsidP="00265A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" w:name="cumtu_1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b)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Đối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với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rượu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thuốc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thuộc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diện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chịu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phải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đảm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chuẩn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theo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pháp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luật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về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dược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;</w:t>
      </w:r>
      <w:bookmarkEnd w:id="6"/>
    </w:p>
    <w:p w14:paraId="5DF29716" w14:textId="77777777" w:rsidR="00265A77" w:rsidRPr="00265A77" w:rsidRDefault="00265A77" w:rsidP="00265A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7" w:name="cumtu_2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c)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mã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thuộc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diện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chịu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không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bao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gồm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loại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mã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là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đồ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chơi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trẻ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em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loại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mã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dùng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để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trang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trí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;</w:t>
      </w:r>
      <w:bookmarkEnd w:id="7"/>
    </w:p>
    <w:p w14:paraId="3E9B21BA" w14:textId="77777777" w:rsidR="00265A77" w:rsidRPr="00265A77" w:rsidRDefault="00265A77" w:rsidP="00265A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mặt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nhóm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“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xăng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>, nap-ta (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naptha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),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phẩm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tái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reformade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component)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phẩm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xăng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” do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phối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>”.</w:t>
      </w:r>
    </w:p>
    <w:p w14:paraId="6069A446" w14:textId="77777777" w:rsidR="00265A77" w:rsidRPr="00265A77" w:rsidRDefault="00265A77" w:rsidP="00265A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8" w:name="dieu_3_1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16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8"/>
    </w:p>
    <w:p w14:paraId="4FD00B1D" w14:textId="77777777" w:rsidR="00265A77" w:rsidRPr="00265A77" w:rsidRDefault="00265A77" w:rsidP="00265A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65A77">
        <w:rPr>
          <w:rFonts w:ascii="Arial" w:eastAsia="Times New Roman" w:hAnsi="Arial" w:cs="Arial"/>
          <w:color w:val="000000"/>
          <w:sz w:val="18"/>
          <w:szCs w:val="18"/>
        </w:rPr>
        <w:t>“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16.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giảm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7B4730C5" w14:textId="77777777" w:rsidR="00265A77" w:rsidRPr="00265A77" w:rsidRDefault="00265A77" w:rsidP="00265A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lastRenderedPageBreak/>
        <w:t>Cơ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gặp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khó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khăn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thiên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tai,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địch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họa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tai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nạn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bất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ngờ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giảm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giảm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xảy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giảm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thiên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tai,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địch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họa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tai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nạn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bất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ngờ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30%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nặng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5270294" w14:textId="77777777" w:rsidR="00265A77" w:rsidRPr="00265A77" w:rsidRDefault="00265A77" w:rsidP="00265A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giảm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>”.</w:t>
      </w:r>
    </w:p>
    <w:p w14:paraId="749AE245" w14:textId="77777777" w:rsidR="00265A77" w:rsidRPr="00265A77" w:rsidRDefault="00265A77" w:rsidP="00265A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9" w:name="dieu_2"/>
      <w:proofErr w:type="spellStart"/>
      <w:r w:rsidRPr="00265A77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265A7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2.</w:t>
      </w:r>
      <w:bookmarkEnd w:id="9"/>
      <w:r w:rsidRPr="00265A77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bookmarkStart w:id="10" w:name="dieu_2_name"/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End w:id="10"/>
      <w:r w:rsidRPr="00265A77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265A77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"https://thuvienphapluat.vn/van-ban/thue-phi-le-phi/nghi-dinh-158-2003-nd-cp-huong-dan-luat-thue-gia-tri-gia-tang-luat-sua-doi-bo-sung-mot-so-dieu-cua-luat-thue-gia-tri-gia-tang-51658.aspx" \o "Nghị định 158/2003/NĐ-CP" \t "_blank" </w:instrText>
      </w:r>
      <w:r w:rsidRPr="00265A77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265A77">
        <w:rPr>
          <w:rFonts w:ascii="Arial" w:eastAsia="Times New Roman" w:hAnsi="Arial" w:cs="Arial"/>
          <w:color w:val="0E70C3"/>
          <w:sz w:val="18"/>
          <w:szCs w:val="18"/>
          <w:u w:val="single"/>
        </w:rPr>
        <w:t>158/2003/NĐ-CP</w:t>
      </w:r>
      <w:r w:rsidRPr="00265A77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r w:rsidRPr="00265A77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10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12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2003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tăng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tăng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74E770AB" w14:textId="77777777" w:rsidR="00265A77" w:rsidRPr="00265A77" w:rsidRDefault="00265A77" w:rsidP="00265A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1" w:name="khoan_1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1.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Khoản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1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4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được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sửa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đổi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bổ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sung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như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sau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:</w:t>
      </w:r>
      <w:bookmarkEnd w:id="11"/>
    </w:p>
    <w:p w14:paraId="6DDA36D8" w14:textId="77777777" w:rsidR="00265A77" w:rsidRPr="00265A77" w:rsidRDefault="00265A77" w:rsidP="00265A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“1.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phẩm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trồng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trọt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(bao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phẩm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rừng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trồng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),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chăn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trồng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đánh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bắt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qua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biến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phẩm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mới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qua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đánh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bắt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khâu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776FDDE" w14:textId="77777777" w:rsidR="00265A77" w:rsidRPr="00265A77" w:rsidRDefault="00265A77" w:rsidP="00265A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phẩm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mới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qua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phẩm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mới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phơi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sấy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khô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ướp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đông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sạch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bóc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vỏ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biến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cao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hơn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biến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phẩm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tượng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tăng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phẩm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khâu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>”.</w:t>
      </w:r>
    </w:p>
    <w:p w14:paraId="5AF62229" w14:textId="77777777" w:rsidR="00265A77" w:rsidRPr="00265A77" w:rsidRDefault="00265A77" w:rsidP="00265A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2" w:name="khoan_2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2.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Điểm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1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khoản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2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7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được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sửa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đổi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bổ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sung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như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sau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:</w:t>
      </w:r>
      <w:bookmarkEnd w:id="12"/>
    </w:p>
    <w:p w14:paraId="2F896A0B" w14:textId="77777777" w:rsidR="00265A77" w:rsidRPr="00265A77" w:rsidRDefault="00265A77" w:rsidP="00265A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“1)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Bông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bông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vỏ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hạt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>”.</w:t>
      </w:r>
    </w:p>
    <w:p w14:paraId="45B5F818" w14:textId="77777777" w:rsidR="00265A77" w:rsidRPr="00265A77" w:rsidRDefault="00265A77" w:rsidP="00265A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3" w:name="dieu_3"/>
      <w:proofErr w:type="spellStart"/>
      <w:r w:rsidRPr="00265A77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265A7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</w:t>
      </w:r>
      <w:r w:rsidRPr="00265A77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.</w:t>
      </w:r>
      <w:bookmarkEnd w:id="13"/>
      <w:r w:rsidRPr="00265A77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bookmarkStart w:id="14" w:name="dieu_3_name"/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01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01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2006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14"/>
    </w:p>
    <w:p w14:paraId="70FB9139" w14:textId="77777777" w:rsidR="00265A77" w:rsidRPr="00265A77" w:rsidRDefault="00265A77" w:rsidP="00265A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5" w:name="dieu_4"/>
      <w:proofErr w:type="spellStart"/>
      <w:r w:rsidRPr="00265A77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265A7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</w:t>
      </w:r>
      <w:r w:rsidRPr="00265A77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.</w:t>
      </w:r>
      <w:bookmarkEnd w:id="15"/>
      <w:r w:rsidRPr="00265A77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bookmarkStart w:id="16" w:name="dieu_4_name"/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ngang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ương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5A77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265A77">
        <w:rPr>
          <w:rFonts w:ascii="Arial" w:eastAsia="Times New Roman" w:hAnsi="Arial" w:cs="Arial"/>
          <w:color w:val="000000"/>
          <w:sz w:val="18"/>
          <w:szCs w:val="18"/>
        </w:rPr>
        <w:t>./.</w:t>
      </w:r>
      <w:bookmarkEnd w:id="16"/>
    </w:p>
    <w:p w14:paraId="7DFF361C" w14:textId="77777777" w:rsidR="00265A77" w:rsidRPr="00265A77" w:rsidRDefault="00265A77" w:rsidP="00265A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65A77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</w:tblGrid>
      <w:tr w:rsidR="00265A77" w:rsidRPr="00265A77" w14:paraId="1CBE6A63" w14:textId="77777777" w:rsidTr="00265A77">
        <w:trPr>
          <w:tblCellSpacing w:w="0" w:type="dxa"/>
        </w:trPr>
        <w:tc>
          <w:tcPr>
            <w:tcW w:w="4605" w:type="dxa"/>
            <w:shd w:val="clear" w:color="auto" w:fill="FFFFFF"/>
            <w:hideMark/>
          </w:tcPr>
          <w:p w14:paraId="42CBBA7F" w14:textId="77777777" w:rsidR="00265A77" w:rsidRPr="00265A77" w:rsidRDefault="00265A77" w:rsidP="00265A7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65A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proofErr w:type="spellStart"/>
            <w:r w:rsidRPr="00265A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Nơi</w:t>
            </w:r>
            <w:proofErr w:type="spellEnd"/>
            <w:r w:rsidRPr="00265A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nhận</w:t>
            </w:r>
            <w:proofErr w:type="spellEnd"/>
            <w:r w:rsidRPr="00265A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:</w:t>
            </w:r>
            <w:r w:rsidRPr="00265A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Ban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Bí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thư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Trung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ương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Đảng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Thủ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tướng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Phó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Thủ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tướng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Chính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phủ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Bộ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cơ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quan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ngang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Bộ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cơ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quan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thuộc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Chính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phủ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HĐND, UBND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tỉnh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thành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phố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trực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thuộc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Trung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ương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Văn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phòng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Trung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ương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Ban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của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Đảng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Văn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phòng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Chủ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tịch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nước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Hội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đồng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Dân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tộc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Ủy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ban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của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Quốc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hội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Văn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phòng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Quốc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hội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Toà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án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nhân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dân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tối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cao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Viện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kiểm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sát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nhân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dân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tối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cao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Cơ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quan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Trung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ương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của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đoàn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thể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Học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viện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hành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chính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quốc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gia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VPCP: BTCN, TBNC,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PCN, BNC, Ban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điều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hành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112,</w:t>
            </w:r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Người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phát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ngôn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của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Thủ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tướng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Chính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phủ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Vụ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Cục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đơn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vị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trực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thuộc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Công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báo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Lưu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Văn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thư</w:t>
            </w:r>
            <w:proofErr w:type="spellEnd"/>
            <w:r w:rsidRPr="00265A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KTTH (5b), HL.320.</w:t>
            </w:r>
          </w:p>
        </w:tc>
      </w:tr>
    </w:tbl>
    <w:p w14:paraId="5004200C" w14:textId="77777777" w:rsidR="00B75D57" w:rsidRDefault="00B75D57">
      <w:bookmarkStart w:id="17" w:name="_GoBack"/>
      <w:bookmarkEnd w:id="17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77"/>
    <w:rsid w:val="00265A77"/>
    <w:rsid w:val="002E3DD8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05FA"/>
  <w15:chartTrackingRefBased/>
  <w15:docId w15:val="{D409AA05-0C88-4A0E-B15E-219BF74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5A77"/>
    <w:rPr>
      <w:b/>
      <w:bCs/>
    </w:rPr>
  </w:style>
  <w:style w:type="character" w:styleId="Emphasis">
    <w:name w:val="Emphasis"/>
    <w:basedOn w:val="DefaultParagraphFont"/>
    <w:uiPriority w:val="20"/>
    <w:qFormat/>
    <w:rsid w:val="00265A7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5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2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2022-07-26T03:40:00Z</dcterms:created>
  <dcterms:modified xsi:type="dcterms:W3CDTF">2022-07-26T03:40:00Z</dcterms:modified>
</cp:coreProperties>
</file>