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47FDE5AA"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DF85A5D" w14:textId="77777777" w:rsidR="00000000" w:rsidRDefault="000E319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BAF87E9" w14:textId="77777777" w:rsidR="00000000" w:rsidRDefault="000E319A">
            <w:pPr>
              <w:jc w:val="center"/>
            </w:pPr>
            <w:r>
              <w:rPr>
                <w:b/>
                <w:bCs/>
              </w:rPr>
              <w:t>CỘNG HOÀ XÃ HỘI CHỦ NGHĨA VIỆT NAM</w:t>
            </w:r>
            <w:r>
              <w:rPr>
                <w:b/>
                <w:bCs/>
              </w:rPr>
              <w:br/>
              <w:t>Độc lập - Tự do - Hạnh phúc</w:t>
            </w:r>
            <w:r>
              <w:rPr>
                <w:b/>
                <w:bCs/>
              </w:rPr>
              <w:br/>
              <w:t>********</w:t>
            </w:r>
          </w:p>
        </w:tc>
      </w:tr>
      <w:tr w:rsidR="00000000" w14:paraId="19F24F1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2607383" w14:textId="77777777" w:rsidR="00000000" w:rsidRDefault="000E319A">
            <w:pPr>
              <w:jc w:val="center"/>
            </w:pPr>
            <w:r>
              <w:t>Số: 01/2006/NĐ-CP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93C50BD" w14:textId="77777777" w:rsidR="00000000" w:rsidRDefault="000E319A">
            <w:pPr>
              <w:jc w:val="right"/>
            </w:pPr>
            <w:r>
              <w:rPr>
                <w:i/>
                <w:iCs/>
              </w:rPr>
              <w:t>Hà Nội, ngày 04 tháng 1 năm 2006</w:t>
            </w:r>
          </w:p>
        </w:tc>
      </w:tr>
    </w:tbl>
    <w:p w14:paraId="7FD0AC2C" w14:textId="77777777" w:rsidR="00000000" w:rsidRDefault="000E319A">
      <w:pPr>
        <w:spacing w:after="120"/>
        <w:jc w:val="center"/>
      </w:pPr>
      <w:r>
        <w:rPr>
          <w:b/>
          <w:bCs/>
        </w:rPr>
        <w:t> </w:t>
      </w:r>
    </w:p>
    <w:p w14:paraId="036A0222" w14:textId="77777777" w:rsidR="00000000" w:rsidRDefault="000E319A">
      <w:pPr>
        <w:spacing w:after="120"/>
        <w:jc w:val="center"/>
      </w:pPr>
      <w:r>
        <w:rPr>
          <w:b/>
          <w:bCs/>
        </w:rPr>
        <w:t>NGHỊ ĐỊNH</w:t>
      </w:r>
    </w:p>
    <w:p w14:paraId="14E0866E" w14:textId="77777777" w:rsidR="00000000" w:rsidRDefault="000E319A">
      <w:pPr>
        <w:spacing w:after="120"/>
        <w:jc w:val="center"/>
      </w:pPr>
      <w:r>
        <w:t>VỀ VIỆC ĐIỀU CHỈNH ĐỊA GIỚI HÀNH CHÍNH, MỞ RỘNG THỊ XÃ HÀ ĐÔNG, TỈNH HÀ TÂY </w:t>
      </w:r>
    </w:p>
    <w:p w14:paraId="0491E6A8" w14:textId="77777777" w:rsidR="00000000" w:rsidRDefault="000E319A">
      <w:pPr>
        <w:spacing w:after="120"/>
        <w:jc w:val="center"/>
      </w:pPr>
      <w:r>
        <w:rPr>
          <w:b/>
          <w:bCs/>
        </w:rPr>
        <w:t>CHÍNH PHỦ</w:t>
      </w:r>
    </w:p>
    <w:p w14:paraId="6C4A7373" w14:textId="77777777" w:rsidR="00000000" w:rsidRDefault="000E319A">
      <w:pPr>
        <w:spacing w:after="120"/>
      </w:pPr>
      <w:r>
        <w:rPr>
          <w:i/>
          <w:iCs/>
        </w:rPr>
        <w:t>Căn cứ Luật T</w:t>
      </w:r>
      <w:r>
        <w:rPr>
          <w:i/>
          <w:iCs/>
        </w:rPr>
        <w:t>ổ chức Chính phủ ngày 25 tháng 12 năm 2001;</w:t>
      </w:r>
      <w:r>
        <w:rPr>
          <w:i/>
          <w:iCs/>
        </w:rPr>
        <w:br/>
        <w:t>Xét đề nghị của Ủy ban nhân dân tỉnh Hà Tây và Bộ trưởng Bộ Nội vụ,</w:t>
      </w:r>
    </w:p>
    <w:p w14:paraId="7F3BFA5C" w14:textId="77777777" w:rsidR="00000000" w:rsidRDefault="000E319A">
      <w:pPr>
        <w:spacing w:after="120"/>
        <w:jc w:val="center"/>
      </w:pPr>
      <w:r>
        <w:rPr>
          <w:b/>
          <w:bCs/>
        </w:rPr>
        <w:t>NGHỊ ĐỊNH :</w:t>
      </w:r>
    </w:p>
    <w:p w14:paraId="3B0097BB" w14:textId="77777777" w:rsidR="00000000" w:rsidRDefault="000E319A">
      <w:pPr>
        <w:spacing w:after="120"/>
      </w:pPr>
      <w:r>
        <w:rPr>
          <w:b/>
          <w:bCs/>
        </w:rPr>
        <w:t>Điều 1.</w:t>
      </w:r>
      <w:r>
        <w:t xml:space="preserve"> Nay điều chỉnh địa giới hành chính và mở rộng thị xã Hà Đông, tỉnh Hà Tây như sau: </w:t>
      </w:r>
    </w:p>
    <w:p w14:paraId="20C9A199" w14:textId="77777777" w:rsidR="00000000" w:rsidRDefault="000E319A">
      <w:pPr>
        <w:spacing w:after="120"/>
      </w:pPr>
      <w:r>
        <w:t xml:space="preserve">1. Sáp nhập 67,64 ha diện tích tự nhiên </w:t>
      </w:r>
      <w:r>
        <w:t xml:space="preserve">và 1.097 nhân khẩu của thôn Phượng Bãi, xã Phụng Châu, huyện Chương Mỹ vào xã Biên Giang thuộc huyện Thanh Oai. </w:t>
      </w:r>
    </w:p>
    <w:p w14:paraId="72493B0D" w14:textId="77777777" w:rsidR="00000000" w:rsidRDefault="000E319A">
      <w:pPr>
        <w:spacing w:after="120"/>
      </w:pPr>
      <w:r>
        <w:t xml:space="preserve">Xã Biên Giang có 270,30 ha diện tích tự nhiên và 5.942 nhân khẩu. </w:t>
      </w:r>
    </w:p>
    <w:p w14:paraId="7E6B6512" w14:textId="77777777" w:rsidR="00000000" w:rsidRDefault="000E319A">
      <w:pPr>
        <w:spacing w:after="120"/>
      </w:pPr>
      <w:r>
        <w:t>Sau khi điều chỉnh địa giới hành chính, xã Phụng Châu còn lại 711,82 ha diện</w:t>
      </w:r>
      <w:r>
        <w:t xml:space="preserve"> tích tự nhiên và 11.449 nhân khẩu. </w:t>
      </w:r>
    </w:p>
    <w:p w14:paraId="79114D69" w14:textId="77777777" w:rsidR="00000000" w:rsidRDefault="000E319A">
      <w:pPr>
        <w:spacing w:after="120"/>
      </w:pPr>
      <w:r>
        <w:t xml:space="preserve">2. Chuyển toàn bộ các xã Biên Giang, Đồng Mai thuộc huyện Thanh Oai với 904,49 ha diện tích tự nhiên và 18.490 nhân khẩu; xã Dương Nội thuộc huyện Hoài Đức với 585,31 ha diện tích tự nhiên và 15.766 nhân khẩu về thị xã </w:t>
      </w:r>
      <w:r>
        <w:t xml:space="preserve">Hà Đông quản lý. </w:t>
      </w:r>
    </w:p>
    <w:p w14:paraId="27D3A850" w14:textId="77777777" w:rsidR="00000000" w:rsidRDefault="000E319A">
      <w:pPr>
        <w:spacing w:after="120"/>
      </w:pPr>
      <w:r>
        <w:t xml:space="preserve">Sau khi điều chỉnh địa giới hành chính, mở rộng thị xã Hà Đông: </w:t>
      </w:r>
    </w:p>
    <w:p w14:paraId="7DECBF94" w14:textId="77777777" w:rsidR="00000000" w:rsidRDefault="000E319A">
      <w:pPr>
        <w:spacing w:after="120"/>
      </w:pPr>
      <w:r>
        <w:t>- Thị xã Hà Đông có 4.791,74 ha diện tích tự nhiên và 173.707 nhân khẩu, có 15 đơn vị hành chính trực thuộc gồm các phường Nguyễn Trãi, Quang Trung, Phúc La, Văn Mỗ, Yết Kiê</w:t>
      </w:r>
      <w:r>
        <w:t>u, Hà Cầu, Vạn Phúc và các xã Văn Khê, Kiến Hưng, Phú Lương, Phú Lãm, Yên Nghĩa, Biên Giang, Đồng Mai, Dương Nội.</w:t>
      </w:r>
    </w:p>
    <w:p w14:paraId="7E7E8BA5" w14:textId="77777777" w:rsidR="00000000" w:rsidRDefault="000E319A">
      <w:pPr>
        <w:spacing w:after="120"/>
      </w:pPr>
      <w:r>
        <w:t>Địa giới hành chính thị xã Hà Đông: Đông giáp thành phố Hà Nội; Tây giáp các huyện Chương Mỹ, Quốc Oai, Hoài Đức; Nam giáp các huyện Thanh Oai</w:t>
      </w:r>
      <w:r>
        <w:t>, Chương Mỹ; Bắc giáp thành phố Hà Nội.</w:t>
      </w:r>
    </w:p>
    <w:p w14:paraId="57C034F2" w14:textId="77777777" w:rsidR="00000000" w:rsidRDefault="000E319A">
      <w:pPr>
        <w:spacing w:after="120"/>
      </w:pPr>
      <w:r>
        <w:t>- Huyện Thanh Oai còn lại 12.378,19 ha diện tích tự nhiên và 167.166 nhân khẩu, có 21 đơn vị hành chính trực thuộc gồm các xã Bích Hoà, Thanh Cao, Cao Viên, Bình Minh, Thanh Mai, Tam Hưng, Thanh Thuỳ, Cự Khê, Mỹ Hưng</w:t>
      </w:r>
      <w:r>
        <w:t>, Thanh Văn, Kim An, Kim Thư, Phương Trung, Đỗ Động, Tân Ước, Dân Hoà, Hồng Dương, Liên Châu, Cao Dương, Xuân Dương và thị trấn Kim Bài.</w:t>
      </w:r>
    </w:p>
    <w:p w14:paraId="03BC196F" w14:textId="77777777" w:rsidR="00000000" w:rsidRDefault="000E319A">
      <w:pPr>
        <w:spacing w:after="120"/>
      </w:pPr>
      <w:r>
        <w:t>- Huyện Hoài Đức còn lại 8.238,47 ha diện tích tự nhiên và 169.566 nhân khẩu, có 20 đơn vị hành chính trực thuộc gồm cá</w:t>
      </w:r>
      <w:r>
        <w:t>c xã An Khánh, An Thượng, Cát Quế, Dương Liễu, Di Trạch, Đông La, Đắc Sở, Đức Giang, Đức Thượng, Kim Chung, Lại Yên, La Phù, Minh Khai, Sơn Đồng, Song Phương, Tiền Yên, Vân Côn, Vân Canh, Yên Sở và thị trấn Trạm Trôi.</w:t>
      </w:r>
    </w:p>
    <w:p w14:paraId="622871EB" w14:textId="77777777" w:rsidR="00000000" w:rsidRDefault="000E319A">
      <w:pPr>
        <w:spacing w:after="120"/>
      </w:pPr>
      <w:r>
        <w:lastRenderedPageBreak/>
        <w:t>- Huyện Chương Mỹ còn lại 23.226,51 ha</w:t>
      </w:r>
      <w:r>
        <w:t xml:space="preserve"> diện tích tự nhiên và 276.191 nhân khẩu, có 32 đơn vị hành chính trực thuộc gồm các xã Thụy Hương, Lam Điền, Hoàng Diệu, Thượng Vực, Văn Võ, Phú Nam An, Hoà Chính, Đồng Phú, Hồng Phong, Hợp Đồng, Quảng Bị, Đại Yên, Ngọc Hoà, Tiên Phương, Trường Yên, Tốt Đ</w:t>
      </w:r>
      <w:r>
        <w:t>ộng, Trung Hoà, Phú Nghĩa, Đông Phương Yên, Đông Sơn, Thanh Bình, Thuỷ Xuân Tiên, Tân Tiến, Nam Phương Tiến, Hoàng Văn Thụ, Hữu Văn, Mỹ Lương, Trần Phú, Đồng Lạc, Phụng Châu và các thị trấn Chúc Sơn, Xuân Mai.</w:t>
      </w:r>
    </w:p>
    <w:p w14:paraId="44A71FDC" w14:textId="77777777" w:rsidR="00000000" w:rsidRDefault="000E319A">
      <w:pPr>
        <w:spacing w:after="120"/>
      </w:pPr>
      <w:r>
        <w:rPr>
          <w:b/>
          <w:bCs/>
        </w:rPr>
        <w:t xml:space="preserve">Điều 2. </w:t>
      </w:r>
      <w:r>
        <w:t>Nghị định này có hiệu lực thi hành sau</w:t>
      </w:r>
      <w:r>
        <w:t xml:space="preserve"> 15 ngày, kể từ ngày đăng Công báo. Mọi quy định trước đây trái Nghị định này đều bãi bỏ.</w:t>
      </w:r>
    </w:p>
    <w:p w14:paraId="5A7E0C71" w14:textId="77777777" w:rsidR="00000000" w:rsidRDefault="000E319A">
      <w:pPr>
        <w:spacing w:after="120"/>
      </w:pPr>
      <w:r>
        <w:rPr>
          <w:b/>
          <w:bCs/>
        </w:rPr>
        <w:t xml:space="preserve">Điều 3. </w:t>
      </w:r>
      <w:r>
        <w:t>Ủy ban nhân dân tỉnh Hà Tây, Bộ trưởng Bộ Nội vụ và Thủ trưởng các cơ quan có liên quan chịu trách nhiệm thi hành Nghị định này./.</w:t>
      </w:r>
    </w:p>
    <w:p w14:paraId="30B03CDE" w14:textId="77777777" w:rsidR="00000000" w:rsidRDefault="000E319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1DC05504"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741BE71D" w14:textId="77777777" w:rsidR="00000000" w:rsidRDefault="000E319A">
            <w:r>
              <w:rPr>
                <w:b/>
                <w:bCs/>
                <w:i/>
                <w:iCs/>
              </w:rPr>
              <w:br/>
            </w:r>
            <w:r>
              <w:rPr>
                <w:b/>
                <w:bCs/>
                <w:i/>
                <w:iCs/>
              </w:rPr>
              <w:t>Nơi nhận:</w:t>
            </w:r>
            <w:r>
              <w:br/>
            </w:r>
            <w:r>
              <w:rPr>
                <w:sz w:val="16"/>
              </w:rPr>
              <w:t>- Thủ tướng, c</w:t>
            </w:r>
            <w:r>
              <w:rPr>
                <w:sz w:val="16"/>
              </w:rPr>
              <w:t xml:space="preserve">ác Phó Thủ tướng Chính phủ; </w:t>
            </w:r>
            <w:r>
              <w:rPr>
                <w:sz w:val="16"/>
              </w:rPr>
              <w:br/>
              <w:t>- HĐND, UBND tỉnh Hà Tây;</w:t>
            </w:r>
            <w:r>
              <w:rPr>
                <w:sz w:val="16"/>
              </w:rPr>
              <w:br/>
              <w:t>- Hội đồng Dân tộc của Quốc hội;</w:t>
            </w:r>
            <w:r>
              <w:rPr>
                <w:sz w:val="16"/>
              </w:rPr>
              <w:br/>
              <w:t>- Ủy ban Pháp luật của Quốc hội;</w:t>
            </w:r>
            <w:r>
              <w:rPr>
                <w:sz w:val="16"/>
              </w:rPr>
              <w:br/>
              <w:t>- Ban Tổ chức Trung ương;</w:t>
            </w:r>
            <w:r>
              <w:rPr>
                <w:sz w:val="16"/>
              </w:rPr>
              <w:br/>
              <w:t xml:space="preserve">- Các Bộ: Nội vụ, Công an, Quốc phòng, </w:t>
            </w:r>
            <w:r>
              <w:rPr>
                <w:sz w:val="16"/>
              </w:rPr>
              <w:br/>
              <w:t xml:space="preserve">Tài nguyên &amp; Môi trường, Tài chính, Xây dựng, </w:t>
            </w:r>
            <w:r>
              <w:rPr>
                <w:sz w:val="16"/>
              </w:rPr>
              <w:br/>
              <w:t>Giao thông vận tải, Kế</w:t>
            </w:r>
            <w:r>
              <w:rPr>
                <w:sz w:val="16"/>
              </w:rPr>
              <w:t xml:space="preserve"> hoạch và Đầu tư;</w:t>
            </w:r>
            <w:r>
              <w:rPr>
                <w:sz w:val="16"/>
              </w:rPr>
              <w:br/>
              <w:t>- Tổng cục Thống kê;</w:t>
            </w:r>
            <w:r>
              <w:rPr>
                <w:sz w:val="16"/>
              </w:rPr>
              <w:br/>
              <w:t>- Cục Văn thư và Lưu trữ Nhà nước;</w:t>
            </w:r>
            <w:r>
              <w:rPr>
                <w:sz w:val="16"/>
              </w:rPr>
              <w:br/>
              <w:t xml:space="preserve">- VPCP: BTCN, các PCN, </w:t>
            </w:r>
            <w:r>
              <w:rPr>
                <w:sz w:val="16"/>
              </w:rPr>
              <w:br/>
              <w:t>các Vụ: ĐP, TCCB, TH, Công báo;</w:t>
            </w:r>
            <w:r>
              <w:rPr>
                <w:sz w:val="16"/>
              </w:rPr>
              <w:br/>
              <w:t>-</w:t>
            </w:r>
            <w:r>
              <w:rPr>
                <w:b/>
                <w:bCs/>
                <w:sz w:val="16"/>
              </w:rPr>
              <w:t xml:space="preserve"> </w:t>
            </w:r>
            <w:r>
              <w:rPr>
                <w:sz w:val="16"/>
              </w:rPr>
              <w:t xml:space="preserve">Lưu: Văn thư, NC (5b). Trang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6D7E34E6" w14:textId="77777777" w:rsidR="00000000" w:rsidRDefault="000E319A">
            <w:pPr>
              <w:jc w:val="center"/>
            </w:pPr>
            <w:r>
              <w:rPr>
                <w:b/>
                <w:bCs/>
              </w:rPr>
              <w:t>TM. CHÍNH PHỦ</w:t>
            </w:r>
            <w:r>
              <w:t xml:space="preserve"> </w:t>
            </w:r>
            <w:r>
              <w:br/>
            </w:r>
            <w:r>
              <w:rPr>
                <w:b/>
                <w:bCs/>
              </w:rPr>
              <w:t>THỦ TƯỚNG</w:t>
            </w:r>
            <w:r>
              <w:t xml:space="preserve"> </w:t>
            </w:r>
            <w:r>
              <w:br/>
            </w:r>
            <w:r>
              <w:br/>
            </w:r>
            <w:r>
              <w:br/>
            </w:r>
            <w:r>
              <w:t> </w:t>
            </w:r>
            <w:r>
              <w:br/>
            </w:r>
            <w:r>
              <w:br/>
            </w:r>
            <w:r>
              <w:rPr>
                <w:b/>
                <w:bCs/>
              </w:rPr>
              <w:t xml:space="preserve">Phan Văn Khải </w:t>
            </w:r>
          </w:p>
        </w:tc>
      </w:tr>
    </w:tbl>
    <w:p w14:paraId="768A3EDC" w14:textId="77777777" w:rsidR="000E319A" w:rsidRDefault="000E319A">
      <w:pPr>
        <w:spacing w:after="120"/>
      </w:pPr>
      <w:r>
        <w:t> </w:t>
      </w:r>
    </w:p>
    <w:sectPr w:rsidR="000E31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AA"/>
    <w:rsid w:val="000E319A"/>
    <w:rsid w:val="00B66D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6CE0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2022-07-26T03:50:00Z</dcterms:created>
  <dcterms:modified xsi:type="dcterms:W3CDTF">2022-07-26T03:50:00Z</dcterms:modified>
</cp:coreProperties>
</file>