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D87015" w:rsidRPr="00D87015" w14:paraId="1BF3635F" w14:textId="77777777" w:rsidTr="00D87015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EC72AD" w14:textId="77777777" w:rsidR="00D87015" w:rsidRPr="00D87015" w:rsidRDefault="00D87015" w:rsidP="00D870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F7FEB6" w14:textId="77777777" w:rsidR="00D87015" w:rsidRPr="00D87015" w:rsidRDefault="00D87015" w:rsidP="00D870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D87015" w:rsidRPr="00D87015" w14:paraId="556E0AE7" w14:textId="77777777" w:rsidTr="00D87015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37F72C" w14:textId="77777777" w:rsidR="00D87015" w:rsidRPr="00D87015" w:rsidRDefault="00D87015" w:rsidP="00D870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03/2006/NĐ-CP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22DA5" w14:textId="77777777" w:rsidR="00D87015" w:rsidRPr="00D87015" w:rsidRDefault="00D87015" w:rsidP="00D87015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06 </w:t>
            </w:r>
            <w:proofErr w:type="spellStart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01 </w:t>
            </w:r>
            <w:proofErr w:type="spellStart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D87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2006 </w:t>
            </w:r>
          </w:p>
        </w:tc>
      </w:tr>
    </w:tbl>
    <w:p w14:paraId="79A51269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CC045D2" w14:textId="77777777" w:rsidR="00D87015" w:rsidRPr="00D87015" w:rsidRDefault="00D87015" w:rsidP="00D8701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D8701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96"/>
        </w:rPr>
        <w:t>NGHỊ ĐỊNH</w:t>
      </w:r>
      <w:bookmarkEnd w:id="0"/>
    </w:p>
    <w:p w14:paraId="074376EA" w14:textId="77777777" w:rsidR="00D87015" w:rsidRPr="00D87015" w:rsidRDefault="00D87015" w:rsidP="00D8701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D87015">
        <w:rPr>
          <w:rFonts w:ascii="Arial" w:eastAsia="Times New Roman" w:hAnsi="Arial" w:cs="Arial"/>
          <w:color w:val="000000"/>
          <w:sz w:val="18"/>
          <w:szCs w:val="18"/>
        </w:rPr>
        <w:t>QUY ĐỊNH MỨC LƯƠNG TỐI THIỂU ĐỐI VỚI LAO ĐỘNG VIỆT NAM LÀM VIỆC CHO</w:t>
      </w:r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D87015">
        <w:rPr>
          <w:rFonts w:ascii="Arial" w:eastAsia="Times New Roman" w:hAnsi="Arial" w:cs="Arial"/>
          <w:color w:val="000000"/>
          <w:sz w:val="18"/>
          <w:szCs w:val="18"/>
        </w:rPr>
        <w:t>DOANH NGHIỆP CÓ VỐN ĐẦU TƯ NƯỚC NGOÀI, CƠ QUAN, TỔ CHỨC NƯỚC NGOÀI, TỔ CHỨC QUỐC TẾ VÀ CÁ NHÂN NGƯỜI NƯỚC NGOÀI TẠI VIỆT NAM</w:t>
      </w:r>
      <w:bookmarkEnd w:id="1"/>
    </w:p>
    <w:p w14:paraId="42359885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1D28F1EC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D87015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23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1994;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sửa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đổi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bổ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sung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một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02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2002;</w:t>
      </w:r>
      <w:r w:rsidRPr="00D870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Theo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Thương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binh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46D5A8C6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D87015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 </w:t>
      </w:r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</w:p>
    <w:p w14:paraId="0DB89D0F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</w:t>
      </w:r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giản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đần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Nam (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2"/>
    </w:p>
    <w:p w14:paraId="7E6DF5DA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870.000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Chí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Minh;</w:t>
      </w:r>
    </w:p>
    <w:p w14:paraId="5B7DAF3E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790.000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Chí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Minh;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Hải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Long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Quảng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Ninh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Biên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Nai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Vũng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Rịa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Vũng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Tàu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Dầu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An,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Dĩ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An,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Bến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Tân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Uyên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14:paraId="7FB8D1E2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710.000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còn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58CEAC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bookmarkEnd w:id="3"/>
    </w:p>
    <w:p w14:paraId="19FD9B31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>1.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bookmarkStart w:id="4" w:name="dieu_2_name"/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thang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lan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31376046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khoan_2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thấp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học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dạy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7% so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34751D1F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khích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hơn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BEAF0E0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proofErr w:type="spellStart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bookmarkEnd w:id="6"/>
    </w:p>
    <w:p w14:paraId="4F278735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7" w:name="dieu_3_name"/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cung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7"/>
    </w:p>
    <w:p w14:paraId="3A7AE12F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binh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kiến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đoàn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đụng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thiểu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 w:rsidRPr="00D87015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1D9541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dieu_4"/>
      <w:proofErr w:type="spellStart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</w:t>
      </w:r>
      <w:bookmarkEnd w:id="8"/>
      <w:r w:rsidRPr="00D87015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9" w:name="dieu_4_name"/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01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02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2006.</w:t>
      </w:r>
      <w:bookmarkEnd w:id="9"/>
    </w:p>
    <w:p w14:paraId="64F39589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BC8813" w14:textId="77777777" w:rsidR="00D87015" w:rsidRPr="00D87015" w:rsidRDefault="00D87015" w:rsidP="00D8701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dieu_5"/>
      <w:proofErr w:type="spellStart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D8701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</w:t>
      </w:r>
      <w:bookmarkEnd w:id="10"/>
      <w:r w:rsidRPr="00D87015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11" w:name="dieu_5_name"/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D87015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D87015">
        <w:rPr>
          <w:rFonts w:ascii="Arial" w:eastAsia="Times New Roman" w:hAnsi="Arial" w:cs="Arial"/>
          <w:color w:val="000000"/>
          <w:sz w:val="18"/>
          <w:szCs w:val="18"/>
        </w:rPr>
        <w:t>./.</w:t>
      </w:r>
      <w:bookmarkEnd w:id="11"/>
    </w:p>
    <w:p w14:paraId="2EBD42E8" w14:textId="77777777" w:rsidR="00D87015" w:rsidRPr="00D87015" w:rsidRDefault="00D87015" w:rsidP="00D870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87015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D87015" w:rsidRPr="00D87015" w14:paraId="456B87E2" w14:textId="77777777" w:rsidTr="00D87015">
        <w:trPr>
          <w:tblCellSpacing w:w="0" w:type="dxa"/>
        </w:trPr>
        <w:tc>
          <w:tcPr>
            <w:tcW w:w="4260" w:type="dxa"/>
            <w:shd w:val="clear" w:color="auto" w:fill="FFFFFF"/>
            <w:hideMark/>
          </w:tcPr>
          <w:p w14:paraId="2DBC7774" w14:textId="77777777" w:rsidR="00D87015" w:rsidRPr="00D87015" w:rsidRDefault="00D87015" w:rsidP="00D8701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70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0" w:type="dxa"/>
            <w:shd w:val="clear" w:color="auto" w:fill="FFFFFF"/>
            <w:hideMark/>
          </w:tcPr>
          <w:p w14:paraId="323F6752" w14:textId="77777777" w:rsidR="00D87015" w:rsidRPr="00D87015" w:rsidRDefault="00D87015" w:rsidP="00D87015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</w:t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D870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Phan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870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Khải</w:t>
            </w:r>
            <w:proofErr w:type="spellEnd"/>
          </w:p>
        </w:tc>
      </w:tr>
    </w:tbl>
    <w:p w14:paraId="4948D3CD" w14:textId="77777777" w:rsidR="00B75D57" w:rsidRDefault="00B75D57">
      <w:bookmarkStart w:id="12" w:name="_GoBack"/>
      <w:bookmarkEnd w:id="12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15"/>
    <w:rsid w:val="00B75D57"/>
    <w:rsid w:val="00D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6247"/>
  <w15:chartTrackingRefBased/>
  <w15:docId w15:val="{22984A3D-B72F-4A8C-A0F8-C8CB9FEE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7015"/>
    <w:rPr>
      <w:b/>
      <w:bCs/>
    </w:rPr>
  </w:style>
  <w:style w:type="character" w:styleId="Emphasis">
    <w:name w:val="Emphasis"/>
    <w:basedOn w:val="DefaultParagraphFont"/>
    <w:uiPriority w:val="20"/>
    <w:qFormat/>
    <w:rsid w:val="00D87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2022-07-26T03:51:00Z</dcterms:created>
  <dcterms:modified xsi:type="dcterms:W3CDTF">2022-07-26T03:51:00Z</dcterms:modified>
</cp:coreProperties>
</file>