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61E1B9A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6766B7E" w14:textId="77777777" w:rsidR="00000000" w:rsidRDefault="00BD552E">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806A480" w14:textId="77777777" w:rsidR="00000000" w:rsidRDefault="00BD552E">
            <w:pPr>
              <w:jc w:val="center"/>
            </w:pPr>
            <w:r>
              <w:rPr>
                <w:b/>
                <w:bCs/>
              </w:rPr>
              <w:t>CỘNG HOÀ XÃ HỘI CHỦ NGHĨA VIỆT NAM</w:t>
            </w:r>
            <w:r>
              <w:rPr>
                <w:b/>
                <w:bCs/>
              </w:rPr>
              <w:br/>
              <w:t>Độc lập - Tự do - Hạnh phúc</w:t>
            </w:r>
            <w:r>
              <w:rPr>
                <w:b/>
                <w:bCs/>
              </w:rPr>
              <w:br/>
            </w:r>
            <w:r>
              <w:t xml:space="preserve">******** </w:t>
            </w:r>
          </w:p>
        </w:tc>
      </w:tr>
      <w:tr w:rsidR="00000000" w14:paraId="7AFCC094"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B9B74B6" w14:textId="77777777" w:rsidR="00000000" w:rsidRDefault="00BD552E">
            <w:pPr>
              <w:jc w:val="center"/>
            </w:pPr>
            <w:r>
              <w:t xml:space="preserve">Số: 01/NĐ-CP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5D94370" w14:textId="77777777" w:rsidR="00000000" w:rsidRDefault="00BD552E">
            <w:pPr>
              <w:jc w:val="right"/>
            </w:pPr>
            <w:r>
              <w:rPr>
                <w:i/>
                <w:iCs/>
              </w:rPr>
              <w:t>Hà Nội, ngày 04 tháng 01 năm 2007 </w:t>
            </w:r>
            <w:r>
              <w:t xml:space="preserve"> </w:t>
            </w:r>
          </w:p>
        </w:tc>
      </w:tr>
    </w:tbl>
    <w:p w14:paraId="4D74E401" w14:textId="77777777" w:rsidR="00000000" w:rsidRDefault="00BD552E">
      <w:pPr>
        <w:spacing w:after="120"/>
        <w:jc w:val="center"/>
      </w:pPr>
      <w:r>
        <w:t> </w:t>
      </w:r>
    </w:p>
    <w:p w14:paraId="185BC61E" w14:textId="77777777" w:rsidR="00000000" w:rsidRDefault="00BD552E">
      <w:pPr>
        <w:spacing w:after="120"/>
        <w:jc w:val="center"/>
      </w:pPr>
      <w:r>
        <w:rPr>
          <w:b/>
          <w:bCs/>
        </w:rPr>
        <w:t>NGHỊ ĐỊNH </w:t>
      </w:r>
    </w:p>
    <w:p w14:paraId="13CC38E1" w14:textId="77777777" w:rsidR="00000000" w:rsidRDefault="00BD552E">
      <w:pPr>
        <w:spacing w:after="120"/>
        <w:jc w:val="center"/>
      </w:pPr>
      <w:r>
        <w:t>SỐ 01/2007/NĐ-CP CỦA CHÍNH PHỦ VỀ VIỆC CHUYỂN TỔNG CỤC THỐNG KÊ VÀO BỘ KẾ HOẠCH VÀ ĐẦU TƯ</w:t>
      </w:r>
    </w:p>
    <w:p w14:paraId="1CAECA42" w14:textId="77777777" w:rsidR="00000000" w:rsidRDefault="00BD552E">
      <w:pPr>
        <w:spacing w:after="120"/>
        <w:jc w:val="center"/>
      </w:pPr>
      <w:r>
        <w:rPr>
          <w:b/>
          <w:bCs/>
        </w:rPr>
        <w:t>CHÍNH  PHỦ</w:t>
      </w:r>
    </w:p>
    <w:p w14:paraId="78921A7E" w14:textId="77777777" w:rsidR="00000000" w:rsidRDefault="00BD552E">
      <w:pPr>
        <w:spacing w:after="120"/>
      </w:pPr>
      <w:r>
        <w:rPr>
          <w:i/>
          <w:iCs/>
        </w:rPr>
        <w:t>Căn cứ Luật Tổ chức Chính phủ ngày 25 tháng 12 năm 2001; Để thực hiện cải cách bộ máy của Chính phủ; Xét đề nghị của Bộ trưởng Bộ Nội vụ tại Tờ trình số 4572/TTr-BNV  ngày 28 tháng 12 năm 2006 về việc chuyển Tổng cục Thống kê vào Bộ Kế hoạch và Đầu tư,</w:t>
      </w:r>
    </w:p>
    <w:p w14:paraId="180F4FC8" w14:textId="77777777" w:rsidR="00000000" w:rsidRDefault="00BD552E">
      <w:pPr>
        <w:spacing w:after="120"/>
        <w:jc w:val="center"/>
      </w:pPr>
      <w:r>
        <w:rPr>
          <w:b/>
          <w:bCs/>
        </w:rPr>
        <w:t> N</w:t>
      </w:r>
      <w:r>
        <w:rPr>
          <w:b/>
          <w:bCs/>
        </w:rPr>
        <w:t>GHỊ ĐỊNH:</w:t>
      </w:r>
    </w:p>
    <w:p w14:paraId="1E7476D0" w14:textId="77777777" w:rsidR="00000000" w:rsidRDefault="00BD552E">
      <w:pPr>
        <w:spacing w:after="120"/>
      </w:pPr>
      <w:r>
        <w:rPr>
          <w:b/>
          <w:bCs/>
        </w:rPr>
        <w:t xml:space="preserve">Điều 1. </w:t>
      </w:r>
      <w:r>
        <w:t>Chuyển Tổng cục Thống kê vào Bộ Kế hoạch và Đầu tư.</w:t>
      </w:r>
    </w:p>
    <w:p w14:paraId="74FEC427" w14:textId="77777777" w:rsidR="00000000" w:rsidRDefault="00BD552E">
      <w:pPr>
        <w:spacing w:after="120"/>
      </w:pPr>
      <w:r>
        <w:rPr>
          <w:b/>
          <w:bCs/>
        </w:rPr>
        <w:t xml:space="preserve">Điều 2. </w:t>
      </w:r>
      <w:r>
        <w:t>Giao Bộ trưởng Bộ Kế hoạch và Đầu tư thực hiện công tác quản lý đối với Tổng cục Thống kê.</w:t>
      </w:r>
    </w:p>
    <w:p w14:paraId="6CB80E04" w14:textId="77777777" w:rsidR="00000000" w:rsidRDefault="00BD552E">
      <w:pPr>
        <w:spacing w:after="120"/>
      </w:pPr>
      <w:r>
        <w:t xml:space="preserve">Bộ trưởng Bộ Kế hoạch và Đầu tư trình Thủ tướng Chính phủ ban hành quyết định quy định </w:t>
      </w:r>
      <w:r>
        <w:t>chức năng, nhiệm vụ, quyền hạn và cơ cấu tổ chức của Tổng cục Thống kê theo quy định của pháp luật.</w:t>
      </w:r>
    </w:p>
    <w:p w14:paraId="6BFEA769" w14:textId="77777777" w:rsidR="00000000" w:rsidRDefault="00BD552E">
      <w:pPr>
        <w:spacing w:after="120"/>
      </w:pPr>
      <w:r>
        <w:rPr>
          <w:b/>
          <w:bCs/>
        </w:rPr>
        <w:t xml:space="preserve">Điều 3. </w:t>
      </w:r>
      <w:r>
        <w:t xml:space="preserve">Nghị định này có hiệu lực thi hành kể từ ngày ban hành và thay thế Nghị định số 101/2003/NĐ-CP ngày 03 tháng 9 năm 2003 của Chính phủ quy định chức </w:t>
      </w:r>
      <w:r>
        <w:t>năng, nhiệm vụ, quyền hạn và cơ cấu tổ chức của Tổng cục Thống kê.</w:t>
      </w:r>
    </w:p>
    <w:p w14:paraId="23696002" w14:textId="77777777" w:rsidR="00000000" w:rsidRDefault="00BD552E">
      <w:pPr>
        <w:spacing w:after="120"/>
      </w:pPr>
      <w:r>
        <w:t>Bộ trưởng Bộ Kế hoạch và Đầu tư, Bộ trưởng Bộ Nội vụ, Tổng cục trưởng Tổng cục Thống kê và các Bộ trưởng, Thủ trưởng cơ quan ngang Bộ, Thủ trưởng cơ quan thuộc Chính phủ, Chủ tịch Ủy ban nh</w:t>
      </w:r>
      <w:r>
        <w:t>ân dân tỉnh, thành phố trực thuộc Trung ương chịu trách nhiệm thi hành Nghị định này ./.</w:t>
      </w:r>
    </w:p>
    <w:p w14:paraId="1C94DFC1" w14:textId="77777777" w:rsidR="00000000" w:rsidRDefault="00BD552E">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25"/>
        <w:gridCol w:w="2035"/>
      </w:tblGrid>
      <w:tr w:rsidR="00000000" w14:paraId="5B505B66"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658BD57" w14:textId="77777777" w:rsidR="00000000" w:rsidRDefault="00BD552E">
            <w:r>
              <w:t>  </w:t>
            </w:r>
            <w:r>
              <w:br/>
            </w:r>
            <w:r>
              <w:rPr>
                <w:b/>
                <w:bCs/>
                <w:i/>
                <w:iCs/>
              </w:rPr>
              <w:t>Nơi nhận:</w:t>
            </w:r>
            <w:r>
              <w:br/>
            </w:r>
            <w:r>
              <w:rPr>
                <w:sz w:val="16"/>
              </w:rPr>
              <w:t>- Ban Bí thư Trung ương Đảng;</w:t>
            </w:r>
            <w:r>
              <w:rPr>
                <w:sz w:val="16"/>
              </w:rPr>
              <w:br/>
              <w:t xml:space="preserve">- Thủ tướng, các Phó Thủ tướng Chính phủ;  </w:t>
            </w:r>
            <w:r>
              <w:rPr>
                <w:sz w:val="16"/>
              </w:rPr>
              <w:br/>
              <w:t>- Các Bộ, cơ quan ngang Bộ, cơ quan thuộc CP;</w:t>
            </w:r>
            <w:r>
              <w:rPr>
                <w:sz w:val="16"/>
              </w:rPr>
              <w:br/>
              <w:t>- Văn phòng BCĐTW về phòng, chốn</w:t>
            </w:r>
            <w:r>
              <w:rPr>
                <w:sz w:val="16"/>
              </w:rPr>
              <w:t>g tham nhũng;</w:t>
            </w:r>
            <w:r>
              <w:rPr>
                <w:sz w:val="16"/>
              </w:rPr>
              <w:br/>
              <w:t>- HĐND, UBND các tỉnh, thành phố trực thuộc TW;</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Toà án nhân dân tối cao;</w:t>
            </w:r>
            <w:r>
              <w:rPr>
                <w:sz w:val="16"/>
              </w:rPr>
              <w:br/>
              <w:t>- Viện Kiểm sát nhân dân tố</w:t>
            </w:r>
            <w:r>
              <w:rPr>
                <w:sz w:val="16"/>
              </w:rPr>
              <w:t>i cao;</w:t>
            </w:r>
            <w:r>
              <w:rPr>
                <w:sz w:val="16"/>
              </w:rPr>
              <w:br/>
              <w:t>- Kiểm toán Nhà nước;</w:t>
            </w:r>
            <w:r>
              <w:rPr>
                <w:sz w:val="16"/>
              </w:rPr>
              <w:br/>
              <w:t>- BQL KKTCKQT Bờ Y;</w:t>
            </w:r>
            <w:r>
              <w:rPr>
                <w:sz w:val="16"/>
              </w:rPr>
              <w:br/>
              <w:t xml:space="preserve">- Cơ quan Trung ương của các đoàn thể; </w:t>
            </w:r>
            <w:r>
              <w:rPr>
                <w:sz w:val="16"/>
              </w:rPr>
              <w:br/>
              <w:t>- Tổng cục Thống kê;</w:t>
            </w:r>
            <w:r>
              <w:rPr>
                <w:sz w:val="16"/>
              </w:rPr>
              <w:br/>
              <w:t>- Học viện Hành chính quốc gia;</w:t>
            </w:r>
            <w:r>
              <w:rPr>
                <w:sz w:val="16"/>
              </w:rPr>
              <w:br/>
              <w:t xml:space="preserve">- VPCP: BTCN, các PCN, </w:t>
            </w:r>
            <w:r>
              <w:rPr>
                <w:sz w:val="16"/>
              </w:rPr>
              <w:br/>
            </w:r>
            <w:r>
              <w:rPr>
                <w:sz w:val="16"/>
              </w:rPr>
              <w:lastRenderedPageBreak/>
              <w:t>  Website Chính phủ, Ban Điều hành 112,</w:t>
            </w:r>
            <w:r>
              <w:rPr>
                <w:sz w:val="16"/>
              </w:rPr>
              <w:br/>
              <w:t xml:space="preserve">  Người phát ngôn của Thủ tướng Chính phủ, </w:t>
            </w:r>
            <w:r>
              <w:br/>
              <w:t xml:space="preserve">  các </w:t>
            </w:r>
            <w:r>
              <w:t>Vụ, Cục, đơn vị trực thuộc, Công báo; - Lưu: Văn thư, TCCB (5b).</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5647E5B" w14:textId="77777777" w:rsidR="00000000" w:rsidRDefault="00BD552E">
            <w:pPr>
              <w:jc w:val="center"/>
            </w:pPr>
            <w:r>
              <w:rPr>
                <w:b/>
                <w:bCs/>
              </w:rPr>
              <w:lastRenderedPageBreak/>
              <w:t>TM. CHÍNH PHỦ</w:t>
            </w:r>
            <w:r>
              <w:br/>
            </w:r>
            <w:r>
              <w:rPr>
                <w:b/>
                <w:bCs/>
              </w:rPr>
              <w:t>THỦ TƯỚNG</w:t>
            </w:r>
            <w:r>
              <w:br/>
            </w:r>
            <w:r>
              <w:rPr>
                <w:b/>
                <w:bCs/>
              </w:rPr>
              <w:t> </w:t>
            </w:r>
          </w:p>
        </w:tc>
      </w:tr>
    </w:tbl>
    <w:p w14:paraId="34CF38F0" w14:textId="77777777" w:rsidR="00000000" w:rsidRDefault="00BD552E">
      <w:pPr>
        <w:spacing w:after="280" w:afterAutospacing="1"/>
      </w:pPr>
      <w:r>
        <w:br/>
      </w:r>
      <w:r>
        <w:rPr>
          <w:b/>
          <w:bCs/>
        </w:rPr>
        <w:t> </w:t>
      </w:r>
      <w:r>
        <w:rPr>
          <w:b/>
          <w:bCs/>
        </w:rPr>
        <w:br/>
      </w:r>
      <w:r>
        <w:rPr>
          <w:b/>
          <w:bCs/>
        </w:rPr>
        <w:br/>
      </w:r>
      <w:r>
        <w:br/>
      </w:r>
      <w:r>
        <w:rPr>
          <w:b/>
          <w:bCs/>
        </w:rPr>
        <w:t>Nguyễn Tấn Dũng</w:t>
      </w:r>
    </w:p>
    <w:p w14:paraId="0CC823B6" w14:textId="77777777" w:rsidR="00BD552E" w:rsidRDefault="00BD552E">
      <w:pPr>
        <w:spacing w:after="120"/>
      </w:pPr>
      <w:r>
        <w:t> </w:t>
      </w:r>
    </w:p>
    <w:sectPr w:rsidR="00BD55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208"/>
    <w:rsid w:val="00621208"/>
    <w:rsid w:val="00BD552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89022"/>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2022-07-26T08:10:00Z</dcterms:created>
  <dcterms:modified xsi:type="dcterms:W3CDTF">2022-07-26T08:10:00Z</dcterms:modified>
</cp:coreProperties>
</file>