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1D2313" w14:paraId="774F254C"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1A4F6BB3" w14:textId="77777777" w:rsidR="001D2313" w:rsidRDefault="001D2313">
            <w:pPr>
              <w:spacing w:before="120"/>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3E37011" w14:textId="77777777" w:rsidR="001D2313" w:rsidRDefault="001D2313">
            <w:pPr>
              <w:spacing w:before="120"/>
              <w:jc w:val="center"/>
            </w:pPr>
            <w:r>
              <w:rPr>
                <w:b/>
                <w:bCs/>
              </w:rPr>
              <w:t>CỘNG HOÀ XÃ HỘI CHỦ NGHĨA VIỆT NAM</w:t>
            </w:r>
            <w:r>
              <w:rPr>
                <w:b/>
                <w:bCs/>
              </w:rPr>
              <w:br/>
              <w:t>Độc lập - Tự do - Hạnh phúc</w:t>
            </w:r>
            <w:r>
              <w:rPr>
                <w:b/>
                <w:bCs/>
              </w:rPr>
              <w:br/>
            </w:r>
            <w:r>
              <w:t xml:space="preserve">******** </w:t>
            </w:r>
          </w:p>
        </w:tc>
      </w:tr>
      <w:tr w:rsidR="001D2313" w14:paraId="5850FCCE"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3256CED2" w14:textId="77777777" w:rsidR="001D2313" w:rsidRDefault="001D2313">
            <w:pPr>
              <w:spacing w:before="120"/>
              <w:jc w:val="center"/>
            </w:pPr>
            <w:r>
              <w:t xml:space="preserve">Số: 08/NĐ-CP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7490BA8" w14:textId="77777777" w:rsidR="001D2313" w:rsidRDefault="001D2313">
            <w:pPr>
              <w:spacing w:before="120"/>
              <w:jc w:val="right"/>
            </w:pPr>
            <w:r>
              <w:rPr>
                <w:i/>
                <w:iCs/>
              </w:rPr>
              <w:t>Hà Nội, ngày 08 tháng 08 năm 2007 </w:t>
            </w:r>
            <w:r>
              <w:t xml:space="preserve"> </w:t>
            </w:r>
          </w:p>
        </w:tc>
      </w:tr>
    </w:tbl>
    <w:p w14:paraId="35FF3D55" w14:textId="77777777" w:rsidR="001D2313" w:rsidRDefault="001D2313">
      <w:pPr>
        <w:spacing w:before="120" w:after="120"/>
        <w:jc w:val="center"/>
      </w:pPr>
      <w:r>
        <w:t> </w:t>
      </w:r>
    </w:p>
    <w:p w14:paraId="1BE0BF32" w14:textId="77777777" w:rsidR="001D2313" w:rsidRDefault="001D2313">
      <w:pPr>
        <w:spacing w:before="120" w:after="120"/>
        <w:jc w:val="center"/>
      </w:pPr>
      <w:r>
        <w:rPr>
          <w:b/>
          <w:bCs/>
        </w:rPr>
        <w:t>NGHỊ ĐỊNH</w:t>
      </w:r>
    </w:p>
    <w:p w14:paraId="1813A86C" w14:textId="77777777" w:rsidR="001D2313" w:rsidRDefault="001D2313">
      <w:pPr>
        <w:spacing w:before="120" w:after="120"/>
        <w:jc w:val="center"/>
      </w:pPr>
      <w:r>
        <w:t>VỀ VIỆC CHUYỂN BAN THI ĐUA-KHEN THƯỞNG TRUNG ƯƠNG, BAN TÔN GIÁO CHÍNH PHỦ, BAN CƠ YẾU CHÍNH PHỦ VÀO BỘ NỘI VỤ</w:t>
      </w:r>
    </w:p>
    <w:p w14:paraId="4531071C" w14:textId="77777777" w:rsidR="001D2313" w:rsidRDefault="001D2313">
      <w:pPr>
        <w:spacing w:before="120" w:after="120"/>
        <w:jc w:val="center"/>
      </w:pPr>
      <w:r>
        <w:rPr>
          <w:b/>
          <w:bCs/>
        </w:rPr>
        <w:t>CHÍNH PHỦ</w:t>
      </w:r>
    </w:p>
    <w:p w14:paraId="04EA88C7" w14:textId="77777777" w:rsidR="001D2313" w:rsidRDefault="001D2313">
      <w:pPr>
        <w:spacing w:before="120" w:after="120"/>
      </w:pPr>
      <w:r>
        <w:rPr>
          <w:i/>
          <w:iCs/>
        </w:rPr>
        <w:t>Căn cứ Luật Tổ chức Chính phủ ngày 25 tháng 12 năm 2001;</w:t>
      </w:r>
      <w:r>
        <w:br/>
      </w:r>
      <w:r>
        <w:rPr>
          <w:i/>
          <w:iCs/>
        </w:rPr>
        <w:t>Căn cứ Nghị quyết số 01/2007/QHH12 ngày 31 tháng 7 năm 2007 của Quốc hội về cơ cấu tổ chức của Chính phủ và số Phó Thủ tướng Chính phủ khóa XII;</w:t>
      </w:r>
      <w:r>
        <w:br/>
      </w:r>
      <w:r>
        <w:rPr>
          <w:i/>
          <w:iCs/>
        </w:rPr>
        <w:t>Xét đề nghị của Bộ trưởng Bộ Nội vụ</w:t>
      </w:r>
      <w:r>
        <w:t>,</w:t>
      </w:r>
    </w:p>
    <w:p w14:paraId="348DF856" w14:textId="77777777" w:rsidR="001D2313" w:rsidRDefault="001D2313">
      <w:pPr>
        <w:spacing w:before="120" w:after="120"/>
        <w:jc w:val="center"/>
      </w:pPr>
      <w:r>
        <w:rPr>
          <w:b/>
          <w:bCs/>
        </w:rPr>
        <w:t>NGHỊ ĐỊNH</w:t>
      </w:r>
    </w:p>
    <w:p w14:paraId="457CBE01" w14:textId="77777777" w:rsidR="001D2313" w:rsidRDefault="001D2313">
      <w:pPr>
        <w:spacing w:before="120" w:after="120"/>
      </w:pPr>
      <w:r>
        <w:rPr>
          <w:b/>
          <w:bCs/>
        </w:rPr>
        <w:t>Điều 1</w:t>
      </w:r>
      <w:r>
        <w:t>. Chuyển Ban Thi đua-Khen thưởng Trung ương, Ban Tôn giáo Chính phủ, Ban Cơ yếu Chính phủ vào Bộ Nội vụ.</w:t>
      </w:r>
      <w:r>
        <w:br/>
      </w:r>
      <w:r>
        <w:rPr>
          <w:b/>
          <w:bCs/>
        </w:rPr>
        <w:t>Điều 2</w:t>
      </w:r>
      <w:r>
        <w:t>. Bộ trưởng Bộ Nội vụ thực hiện chức năng quản lý nhà nước về thi đua-khen thưởng, tôn giáo, cơ yếu và quản lý đối với Ban Thi đua-Khen thưởng Trung ương, Ban Tôn giáo Chính phủ, Ban Cơ yếu Chính phủ; trình Thủ tướng Chính phủ ban hành Quyết định quy định chức năng, nhiệm vụ, quyền hạn và cơ cấu tổ chức của Ban Thi đua-Khen thưởng Trung ương, Ban Tôn giáo Chính phủ, Ban Cơ yếu Chính phủ thuộc Bộ Nội vụ theo quy định của pháp luật.</w:t>
      </w:r>
      <w:r>
        <w:br/>
      </w:r>
      <w:r>
        <w:rPr>
          <w:b/>
          <w:bCs/>
        </w:rPr>
        <w:t>Điều 3</w:t>
      </w:r>
      <w:r>
        <w:t xml:space="preserve">. Nghị định này có hiệu lực thi hành kể từ ngày ký; bãi bỏ quy định về Ban Thi đua-Khen thưởng Trung ương là cơ quan thuộc Chính phủ tại </w:t>
      </w:r>
      <w:bookmarkStart w:id="1" w:name="dc_1"/>
      <w:r>
        <w:t>khoản 1 Điều 1 Nghị định số 158/2004/NĐ-CP</w:t>
      </w:r>
      <w:bookmarkEnd w:id="1"/>
      <w:r>
        <w:t xml:space="preserve"> ngày 25 tháng 8 năm 2004 của Chính phủ về việc thành lập Ban Thi đua-Khen thưởng Trung ương; bãi bỏ quy định về Ban Tôn giáo Chính phủ là cơ quan thuộc Chính phủ tại </w:t>
      </w:r>
      <w:bookmarkStart w:id="2" w:name="dc_2"/>
      <w:r>
        <w:t>Điều 1 Nghị định số 91/2003/NĐ-CP</w:t>
      </w:r>
      <w:bookmarkEnd w:id="2"/>
      <w:r>
        <w:t xml:space="preserve"> ngày 13 tháng 8 năm 2003 của Chính phủ quy định chức năng, nhiệm vụ, quyền hạn và cơ cấu tổ chức của Ban Tôn giáo Chính phủ; bãi bỏ quy định Ban Cơ yếu Chính phủ là cơ quan thuộc Chính phủ tại </w:t>
      </w:r>
      <w:bookmarkStart w:id="3" w:name="dc_3"/>
      <w:r>
        <w:t>Điều 1 Nghị định 140/2003/NĐ-CP</w:t>
      </w:r>
      <w:bookmarkEnd w:id="3"/>
      <w:r>
        <w:t xml:space="preserve"> ngày 20 tháng 11 năm 2003 của Chính phủ quy định chức năng, nhiệm vụ, quyền hạn và cơ cấu tổ chức của Ban Cơ yếu Chính phủ.</w:t>
      </w:r>
      <w:r>
        <w:br/>
        <w:t>Ban Thi đua-Khen thưởng Trung ương, Ban Tôn giáo Chính phủ, Ban Cơ yếu Chính phủ tiếp tục thực hiện chức năng, nhiệm vụ, quyền hạn và giữ ổn định cơ cấu tổ chức được quy định như trong các Nghị định nêu tại Điều này; được sử dụng con dấu hiện nay cho đến khi Chính phủ ban hành Nghị định mới quy định chức năng, nhiệm vụ, quyền hạn và cơ cấu tổ chức của Bộ Nội vụ.</w:t>
      </w:r>
      <w:r>
        <w:br/>
        <w:t>Bộ trưởng Bộ Nội vụ, Trưởng Ban Thi đua-Khen thưởng Trung ương, Trưởng ban Ban Tôn giáo Chính phủ, Trưởng ban Ban Cơ yếu Chính phủ và các Bộ trưởng, Thủ trưởng cơ quan ngang Bộ, Thủ trưởng cơ quan thuộc Chính phủ, Chủ tịch Ủy ban nhân dân tỉnh, thành phố trực thuộc Trung ương chịu trách nhiệm thi hành Nghị định này./.</w:t>
      </w:r>
      <w:r>
        <w:b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66"/>
        <w:gridCol w:w="3094"/>
      </w:tblGrid>
      <w:tr w:rsidR="001D2313" w14:paraId="3C16D9C3"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D920022" w14:textId="77777777" w:rsidR="001D2313" w:rsidRDefault="001D2313">
            <w:pPr>
              <w:spacing w:before="120"/>
            </w:pPr>
            <w:r>
              <w:t> </w:t>
            </w:r>
            <w:r>
              <w:br/>
            </w:r>
            <w:r>
              <w:rPr>
                <w:b/>
                <w:bCs/>
                <w:i/>
                <w:iCs/>
              </w:rPr>
              <w:t>Nơi nhận</w:t>
            </w:r>
            <w:r>
              <w:rPr>
                <w:b/>
                <w:bCs/>
              </w:rPr>
              <w:t>:</w:t>
            </w:r>
            <w:r>
              <w:br/>
            </w:r>
            <w:r>
              <w:rPr>
                <w:sz w:val="16"/>
              </w:rPr>
              <w:lastRenderedPageBreak/>
              <w:t>- Ban Bí thư Trung ương Đảng;</w:t>
            </w:r>
            <w:r>
              <w:rPr>
                <w:sz w:val="16"/>
              </w:rPr>
              <w:br/>
              <w:t>- Thủ tướng, các Phó Thủ tướng Chính phủ;</w:t>
            </w:r>
            <w:r>
              <w:rPr>
                <w:sz w:val="16"/>
              </w:rPr>
              <w:br/>
              <w:t>- Các Bộ, cơ quan ngang Bộ, cơ quan thuộc CP;</w:t>
            </w:r>
            <w:r>
              <w:rPr>
                <w:sz w:val="16"/>
              </w:rPr>
              <w:br/>
              <w:t>- VP BCĐ TW về phòng, chống tham nhũng;</w:t>
            </w:r>
            <w:r>
              <w:rPr>
                <w:sz w:val="16"/>
              </w:rPr>
              <w:br/>
              <w:t>- HĐND, UBND các tỉnh, thành phố trực thuộc Trung ương;</w:t>
            </w:r>
            <w:r>
              <w:rPr>
                <w:sz w:val="16"/>
              </w:rPr>
              <w:br/>
              <w:t>- Văn phòng Trung ương và các Ban của Đảng;</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UBTW Mặt trận Tổ quốc Việt Nam;</w:t>
            </w:r>
            <w:r>
              <w:rPr>
                <w:sz w:val="16"/>
              </w:rPr>
              <w:br/>
              <w:t>- Cơ quan Trung ương của các đoàn thể;</w:t>
            </w:r>
            <w:r>
              <w:rPr>
                <w:sz w:val="16"/>
              </w:rPr>
              <w:br/>
              <w:t>- VPCP: BTCN, các PCN,</w:t>
            </w:r>
            <w:r>
              <w:rPr>
                <w:sz w:val="16"/>
              </w:rPr>
              <w:br/>
              <w:t>Website Chính phủ, Ban Điều hành 112,</w:t>
            </w:r>
            <w:r>
              <w:rPr>
                <w:sz w:val="16"/>
              </w:rPr>
              <w:br/>
              <w:t>Người phát ngôn của Thủ tướng Chính phủ,</w:t>
            </w:r>
            <w:r>
              <w:rPr>
                <w:sz w:val="16"/>
              </w:rPr>
              <w:br/>
              <w:t>các Vụ, Cục, đơn vị trực thuộc, Công báo;</w:t>
            </w:r>
            <w:r>
              <w:rPr>
                <w:sz w:val="16"/>
              </w:rPr>
              <w:br/>
              <w:t>- Lưu: Văn thư, TCCB (5b).315.</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51BF50A" w14:textId="77777777" w:rsidR="001D2313" w:rsidRDefault="001D2313">
            <w:pPr>
              <w:spacing w:before="120" w:after="120"/>
              <w:jc w:val="center"/>
            </w:pPr>
            <w:r>
              <w:rPr>
                <w:b/>
                <w:bCs/>
              </w:rPr>
              <w:lastRenderedPageBreak/>
              <w:t> </w:t>
            </w:r>
          </w:p>
          <w:p w14:paraId="5C944E8F" w14:textId="77777777" w:rsidR="001D2313" w:rsidRDefault="001D2313">
            <w:pPr>
              <w:spacing w:before="120" w:after="120"/>
              <w:jc w:val="center"/>
            </w:pPr>
            <w:r>
              <w:rPr>
                <w:b/>
                <w:bCs/>
              </w:rPr>
              <w:lastRenderedPageBreak/>
              <w:t>TM. CHÍNH PHỦ</w:t>
            </w:r>
          </w:p>
          <w:p w14:paraId="40969A31" w14:textId="77777777" w:rsidR="001D2313" w:rsidRDefault="001D2313">
            <w:pPr>
              <w:spacing w:before="120" w:after="120"/>
              <w:jc w:val="center"/>
            </w:pPr>
            <w:r>
              <w:rPr>
                <w:b/>
                <w:bCs/>
              </w:rPr>
              <w:t>THỦ TƯỚNG</w:t>
            </w:r>
          </w:p>
          <w:p w14:paraId="6CA62643" w14:textId="77777777" w:rsidR="001D2313" w:rsidRDefault="001D2313">
            <w:pPr>
              <w:spacing w:before="120" w:after="120"/>
              <w:jc w:val="center"/>
            </w:pPr>
            <w:r>
              <w:rPr>
                <w:b/>
                <w:bCs/>
              </w:rPr>
              <w:t> </w:t>
            </w:r>
          </w:p>
          <w:p w14:paraId="3D16B7B9" w14:textId="77777777" w:rsidR="001D2313" w:rsidRDefault="001D2313">
            <w:pPr>
              <w:spacing w:before="120" w:after="120"/>
              <w:jc w:val="center"/>
            </w:pPr>
            <w:r>
              <w:rPr>
                <w:b/>
                <w:bCs/>
              </w:rPr>
              <w:t> </w:t>
            </w:r>
          </w:p>
          <w:p w14:paraId="2B9316E4" w14:textId="77777777" w:rsidR="001D2313" w:rsidRDefault="001D2313">
            <w:pPr>
              <w:spacing w:before="120" w:after="120"/>
              <w:jc w:val="center"/>
            </w:pPr>
            <w:r>
              <w:t> </w:t>
            </w:r>
          </w:p>
          <w:p w14:paraId="44E1E4C5" w14:textId="77777777" w:rsidR="001D2313" w:rsidRDefault="001D2313">
            <w:pPr>
              <w:spacing w:before="120" w:after="120"/>
              <w:jc w:val="center"/>
            </w:pPr>
            <w:r>
              <w:t> </w:t>
            </w:r>
          </w:p>
          <w:p w14:paraId="29123F65" w14:textId="77777777" w:rsidR="001D2313" w:rsidRDefault="001D2313">
            <w:pPr>
              <w:spacing w:before="120"/>
              <w:jc w:val="center"/>
            </w:pPr>
            <w:r>
              <w:rPr>
                <w:b/>
                <w:bCs/>
              </w:rPr>
              <w:t>Nguyễn Tấn Dũng</w:t>
            </w:r>
          </w:p>
        </w:tc>
      </w:tr>
    </w:tbl>
    <w:p w14:paraId="53ACE009" w14:textId="77777777" w:rsidR="001D2313" w:rsidRDefault="001D2313">
      <w:pPr>
        <w:spacing w:before="120" w:after="120"/>
      </w:pPr>
      <w:r>
        <w:lastRenderedPageBreak/>
        <w:t> </w:t>
      </w:r>
    </w:p>
    <w:sectPr w:rsidR="001D231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469"/>
    <w:rsid w:val="001D2313"/>
    <w:rsid w:val="009B0469"/>
    <w:rsid w:val="00EC4C0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65B9A6"/>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484</Words>
  <Characters>2764</Characters>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3242</CharactersWithSpaces>
  <SharedDoc>false</SharedDoc>
  <HyperlinkBase>http://vanbanphapluat.co/nghi-dinh-08-nd-cp-chuyen-ban-thi-dua-khen-thuong-trung-uong-ban-ton-giao-chinh-phu-ban-co-yeu-chinh-phu-vao-bo-noi-vu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2022-07-27T03:22:00Z</dcterms:created>
  <dcterms:modified xsi:type="dcterms:W3CDTF">2022-07-27T03:22:00Z</dcterms:modified>
</cp:coreProperties>
</file>