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2F08E8" w:rsidRPr="00A34AE3" w14:paraId="6B3F7375" w14:textId="77777777">
        <w:tc>
          <w:tcPr>
            <w:tcW w:w="3348" w:type="dxa"/>
          </w:tcPr>
          <w:p w14:paraId="75C906D1" w14:textId="77777777" w:rsidR="002F08E8" w:rsidRPr="00A34AE3" w:rsidRDefault="00FE070E" w:rsidP="00A34AE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AE3">
              <w:rPr>
                <w:rFonts w:ascii="Arial" w:hAnsi="Arial" w:cs="Arial"/>
                <w:b/>
                <w:sz w:val="20"/>
              </w:rPr>
              <w:t>HỘI ĐỒNG NHÂN DÂN</w:t>
            </w:r>
            <w:r w:rsidRPr="00A34AE3">
              <w:rPr>
                <w:rFonts w:ascii="Arial" w:hAnsi="Arial" w:cs="Arial"/>
                <w:b/>
                <w:sz w:val="20"/>
              </w:rPr>
              <w:br/>
              <w:t>TỈNH ĐỒNG THÁP</w:t>
            </w:r>
            <w:r w:rsidR="002F08E8" w:rsidRPr="00A34AE3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14:paraId="3C177710" w14:textId="77777777" w:rsidR="002F08E8" w:rsidRPr="00A34AE3" w:rsidRDefault="002F08E8" w:rsidP="00A34AE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AE3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A34AE3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A34AE3">
              <w:rPr>
                <w:rFonts w:ascii="Arial" w:hAnsi="Arial" w:cs="Arial"/>
                <w:b/>
                <w:sz w:val="20"/>
                <w:szCs w:val="20"/>
              </w:rPr>
              <w:t>Độc</w:t>
            </w:r>
            <w:proofErr w:type="spellEnd"/>
            <w:r w:rsidRPr="00A34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b/>
                <w:sz w:val="20"/>
                <w:szCs w:val="20"/>
              </w:rPr>
              <w:t>lập</w:t>
            </w:r>
            <w:proofErr w:type="spellEnd"/>
            <w:r w:rsidRPr="00A34AE3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A34AE3">
              <w:rPr>
                <w:rFonts w:ascii="Arial" w:hAnsi="Arial" w:cs="Arial"/>
                <w:b/>
                <w:sz w:val="20"/>
                <w:szCs w:val="20"/>
              </w:rPr>
              <w:t>Tự</w:t>
            </w:r>
            <w:proofErr w:type="spellEnd"/>
            <w:r w:rsidRPr="00A34AE3">
              <w:rPr>
                <w:rFonts w:ascii="Arial" w:hAnsi="Arial" w:cs="Arial"/>
                <w:b/>
                <w:sz w:val="20"/>
                <w:szCs w:val="20"/>
              </w:rPr>
              <w:t xml:space="preserve"> do - </w:t>
            </w:r>
            <w:proofErr w:type="spellStart"/>
            <w:r w:rsidRPr="00A34AE3">
              <w:rPr>
                <w:rFonts w:ascii="Arial" w:hAnsi="Arial" w:cs="Arial"/>
                <w:b/>
                <w:sz w:val="20"/>
                <w:szCs w:val="20"/>
              </w:rPr>
              <w:t>Hạnh</w:t>
            </w:r>
            <w:proofErr w:type="spellEnd"/>
            <w:r w:rsidRPr="00A34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b/>
                <w:sz w:val="20"/>
                <w:szCs w:val="20"/>
              </w:rPr>
              <w:t>phúc</w:t>
            </w:r>
            <w:proofErr w:type="spellEnd"/>
            <w:r w:rsidRPr="00A34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4AE3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2F08E8" w:rsidRPr="00A34AE3" w14:paraId="3549C537" w14:textId="77777777">
        <w:tc>
          <w:tcPr>
            <w:tcW w:w="3348" w:type="dxa"/>
          </w:tcPr>
          <w:p w14:paraId="7C3D36C0" w14:textId="77777777" w:rsidR="002F08E8" w:rsidRPr="00A34AE3" w:rsidRDefault="002F08E8" w:rsidP="00A34AE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4AE3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A34AE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E070E" w:rsidRPr="00A34AE3">
              <w:rPr>
                <w:rFonts w:ascii="Arial" w:hAnsi="Arial" w:cs="Arial"/>
                <w:sz w:val="20"/>
              </w:rPr>
              <w:t>48/NQ-HĐND</w:t>
            </w:r>
          </w:p>
        </w:tc>
        <w:tc>
          <w:tcPr>
            <w:tcW w:w="5508" w:type="dxa"/>
          </w:tcPr>
          <w:p w14:paraId="536A6FA4" w14:textId="77777777" w:rsidR="002F08E8" w:rsidRPr="00A34AE3" w:rsidRDefault="00FE070E" w:rsidP="00A34AE3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A34AE3">
              <w:rPr>
                <w:rFonts w:ascii="Arial" w:hAnsi="Arial" w:cs="Arial"/>
                <w:i/>
                <w:sz w:val="20"/>
                <w:szCs w:val="28"/>
              </w:rPr>
              <w:t>Đồng</w:t>
            </w:r>
            <w:proofErr w:type="spellEnd"/>
            <w:r w:rsidRPr="00A34AE3">
              <w:rPr>
                <w:rFonts w:ascii="Arial" w:hAnsi="Arial" w:cs="Arial"/>
                <w:i/>
                <w:sz w:val="20"/>
                <w:szCs w:val="28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i/>
                <w:sz w:val="20"/>
                <w:szCs w:val="28"/>
              </w:rPr>
              <w:t>Tháp</w:t>
            </w:r>
            <w:proofErr w:type="spellEnd"/>
            <w:r w:rsidRPr="00A34AE3">
              <w:rPr>
                <w:rFonts w:ascii="Arial" w:hAnsi="Arial" w:cs="Arial"/>
                <w:i/>
                <w:sz w:val="20"/>
                <w:szCs w:val="28"/>
              </w:rPr>
              <w:t xml:space="preserve">, </w:t>
            </w:r>
            <w:proofErr w:type="spellStart"/>
            <w:r w:rsidRPr="00A34AE3">
              <w:rPr>
                <w:rFonts w:ascii="Arial" w:hAnsi="Arial" w:cs="Arial"/>
                <w:i/>
                <w:sz w:val="20"/>
                <w:szCs w:val="28"/>
              </w:rPr>
              <w:t>ngày</w:t>
            </w:r>
            <w:proofErr w:type="spellEnd"/>
            <w:r w:rsidRPr="00A34AE3">
              <w:rPr>
                <w:rFonts w:ascii="Arial" w:hAnsi="Arial" w:cs="Arial"/>
                <w:i/>
                <w:sz w:val="20"/>
                <w:szCs w:val="28"/>
              </w:rPr>
              <w:t xml:space="preserve"> 09 </w:t>
            </w:r>
            <w:proofErr w:type="spellStart"/>
            <w:r w:rsidRPr="00A34AE3">
              <w:rPr>
                <w:rFonts w:ascii="Arial" w:hAnsi="Arial" w:cs="Arial"/>
                <w:i/>
                <w:sz w:val="20"/>
                <w:szCs w:val="28"/>
              </w:rPr>
              <w:t>tháng</w:t>
            </w:r>
            <w:proofErr w:type="spellEnd"/>
            <w:r w:rsidRPr="00A34AE3">
              <w:rPr>
                <w:rFonts w:ascii="Arial" w:hAnsi="Arial" w:cs="Arial"/>
                <w:i/>
                <w:sz w:val="20"/>
                <w:szCs w:val="28"/>
              </w:rPr>
              <w:t xml:space="preserve"> 12 </w:t>
            </w:r>
            <w:proofErr w:type="spellStart"/>
            <w:r w:rsidRPr="00A34AE3">
              <w:rPr>
                <w:rFonts w:ascii="Arial" w:hAnsi="Arial" w:cs="Arial"/>
                <w:i/>
                <w:sz w:val="20"/>
                <w:szCs w:val="28"/>
              </w:rPr>
              <w:t>năm</w:t>
            </w:r>
            <w:proofErr w:type="spellEnd"/>
            <w:r w:rsidRPr="00A34AE3">
              <w:rPr>
                <w:rFonts w:ascii="Arial" w:hAnsi="Arial" w:cs="Arial"/>
                <w:i/>
                <w:sz w:val="20"/>
                <w:szCs w:val="28"/>
              </w:rPr>
              <w:t xml:space="preserve"> 2022</w:t>
            </w:r>
          </w:p>
        </w:tc>
      </w:tr>
    </w:tbl>
    <w:p w14:paraId="6A1F9244" w14:textId="77777777" w:rsidR="002F08E8" w:rsidRPr="00A34AE3" w:rsidRDefault="002F08E8" w:rsidP="00A34AE3">
      <w:pPr>
        <w:spacing w:before="120"/>
      </w:pPr>
    </w:p>
    <w:p w14:paraId="583B18E3" w14:textId="77777777" w:rsidR="009B3693" w:rsidRPr="00A34AE3" w:rsidRDefault="00FE070E" w:rsidP="00A34AE3">
      <w:pPr>
        <w:shd w:val="clear" w:color="auto" w:fill="FFFFFF"/>
        <w:spacing w:before="120"/>
        <w:jc w:val="center"/>
        <w:rPr>
          <w:rFonts w:ascii="Arial" w:hAnsi="Arial" w:cs="Arial"/>
          <w:b/>
          <w:szCs w:val="28"/>
        </w:rPr>
      </w:pPr>
      <w:r w:rsidRPr="00A34AE3">
        <w:rPr>
          <w:rFonts w:ascii="Arial" w:hAnsi="Arial" w:cs="Arial"/>
          <w:b/>
          <w:bCs/>
          <w:szCs w:val="28"/>
        </w:rPr>
        <w:t>NGHỊ QUYẾT</w:t>
      </w:r>
    </w:p>
    <w:p w14:paraId="6E36A2AA" w14:textId="77777777" w:rsidR="009B3693" w:rsidRPr="00A34AE3" w:rsidRDefault="00FE070E" w:rsidP="00A34AE3">
      <w:pPr>
        <w:pStyle w:val="Heading8"/>
        <w:keepNext w:val="0"/>
        <w:keepLines w:val="0"/>
        <w:spacing w:before="120"/>
        <w:jc w:val="center"/>
        <w:rPr>
          <w:rFonts w:ascii="Arial" w:hAnsi="Arial" w:cs="Arial"/>
          <w:color w:val="auto"/>
          <w:sz w:val="20"/>
          <w:szCs w:val="28"/>
        </w:rPr>
      </w:pPr>
      <w:r w:rsidRPr="00A34AE3">
        <w:rPr>
          <w:rFonts w:ascii="Arial" w:hAnsi="Arial" w:cs="Arial"/>
          <w:color w:val="auto"/>
          <w:sz w:val="20"/>
          <w:szCs w:val="28"/>
        </w:rPr>
        <w:t>PHÊ CHUẨN DỰ TOÁN NGÂN SÁCH NHÀ NƯỚC NĂM 2023 VÀ PHÂN BỔ NGÂN SÁCH CẤP TỈNH NĂM 2023 CỦA TỈNH ĐỒNG THÁP</w:t>
      </w:r>
    </w:p>
    <w:p w14:paraId="410B4AAB" w14:textId="77777777" w:rsidR="009B3693" w:rsidRPr="00A34AE3" w:rsidRDefault="00FE070E" w:rsidP="00A34AE3">
      <w:pPr>
        <w:pStyle w:val="Heading8"/>
        <w:keepNext w:val="0"/>
        <w:keepLines w:val="0"/>
        <w:spacing w:before="120"/>
        <w:jc w:val="center"/>
        <w:rPr>
          <w:rFonts w:ascii="Arial" w:hAnsi="Arial" w:cs="Arial"/>
          <w:b/>
          <w:color w:val="auto"/>
          <w:sz w:val="24"/>
        </w:rPr>
      </w:pPr>
      <w:r w:rsidRPr="00A34AE3">
        <w:rPr>
          <w:rFonts w:ascii="Arial" w:hAnsi="Arial" w:cs="Arial"/>
          <w:b/>
          <w:color w:val="auto"/>
          <w:sz w:val="24"/>
        </w:rPr>
        <w:t xml:space="preserve">HỘI ĐỒNG NHÂN DÂN TỈNH ĐỒNG THÁP </w:t>
      </w:r>
      <w:r w:rsidR="008D1AE7">
        <w:rPr>
          <w:rFonts w:ascii="Arial" w:hAnsi="Arial" w:cs="Arial"/>
          <w:b/>
          <w:color w:val="auto"/>
          <w:sz w:val="24"/>
        </w:rPr>
        <w:br/>
      </w:r>
      <w:r w:rsidRPr="00A34AE3">
        <w:rPr>
          <w:rFonts w:ascii="Arial" w:hAnsi="Arial" w:cs="Arial"/>
          <w:b/>
          <w:color w:val="auto"/>
          <w:sz w:val="24"/>
        </w:rPr>
        <w:t>KHÓA X - KỲ HỌP THỨ NĂM</w:t>
      </w:r>
    </w:p>
    <w:p w14:paraId="693C6626" w14:textId="77777777" w:rsidR="009B3693" w:rsidRPr="00A34AE3" w:rsidRDefault="009B3693" w:rsidP="00A34AE3">
      <w:pPr>
        <w:spacing w:before="120"/>
        <w:rPr>
          <w:rFonts w:ascii="Arial" w:hAnsi="Arial" w:cs="Arial"/>
          <w:i/>
          <w:sz w:val="20"/>
          <w:szCs w:val="28"/>
        </w:rPr>
      </w:pPr>
      <w:proofErr w:type="spellStart"/>
      <w:r w:rsidRPr="00A34AE3">
        <w:rPr>
          <w:rFonts w:ascii="Arial" w:hAnsi="Arial" w:cs="Arial"/>
          <w:i/>
          <w:sz w:val="20"/>
          <w:szCs w:val="28"/>
        </w:rPr>
        <w:t>Căn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cứ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Luật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Tổ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chức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quyền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ngày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19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6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2015;</w:t>
      </w:r>
    </w:p>
    <w:p w14:paraId="4D27AC73" w14:textId="77777777" w:rsidR="009B3693" w:rsidRPr="00A34AE3" w:rsidRDefault="009B3693" w:rsidP="00A34AE3">
      <w:pPr>
        <w:spacing w:before="120"/>
        <w:rPr>
          <w:rFonts w:ascii="Arial" w:hAnsi="Arial" w:cs="Arial"/>
          <w:i/>
          <w:sz w:val="20"/>
          <w:szCs w:val="28"/>
        </w:rPr>
      </w:pPr>
      <w:proofErr w:type="spellStart"/>
      <w:r w:rsidRPr="00A34AE3">
        <w:rPr>
          <w:rFonts w:ascii="Arial" w:hAnsi="Arial" w:cs="Arial"/>
          <w:i/>
          <w:sz w:val="20"/>
          <w:szCs w:val="28"/>
        </w:rPr>
        <w:t>Căn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cứ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Luật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Sửa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đổi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một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Luật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Tổ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chức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phủ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Luật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Tổ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chức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quyền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ngày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22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11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2019;</w:t>
      </w:r>
    </w:p>
    <w:p w14:paraId="060FA028" w14:textId="77777777" w:rsidR="009B3693" w:rsidRPr="00A34AE3" w:rsidRDefault="009B3693" w:rsidP="00A34AE3">
      <w:pPr>
        <w:spacing w:before="120"/>
        <w:rPr>
          <w:rFonts w:ascii="Arial" w:hAnsi="Arial" w:cs="Arial"/>
          <w:i/>
          <w:sz w:val="20"/>
          <w:szCs w:val="28"/>
        </w:rPr>
      </w:pPr>
      <w:proofErr w:type="spellStart"/>
      <w:r w:rsidRPr="00A34AE3">
        <w:rPr>
          <w:rFonts w:ascii="Arial" w:hAnsi="Arial" w:cs="Arial"/>
          <w:i/>
          <w:sz w:val="20"/>
          <w:szCs w:val="28"/>
        </w:rPr>
        <w:t>Căn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cứ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Luật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ngày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25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6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2015;</w:t>
      </w:r>
    </w:p>
    <w:p w14:paraId="207FD2FC" w14:textId="77777777" w:rsidR="009B3693" w:rsidRPr="00A34AE3" w:rsidRDefault="009B3693" w:rsidP="00A34AE3">
      <w:pPr>
        <w:spacing w:before="120"/>
        <w:rPr>
          <w:rFonts w:ascii="Arial" w:hAnsi="Arial" w:cs="Arial"/>
          <w:i/>
          <w:sz w:val="20"/>
          <w:szCs w:val="28"/>
        </w:rPr>
      </w:pPr>
      <w:proofErr w:type="spellStart"/>
      <w:r w:rsidRPr="00A34AE3">
        <w:rPr>
          <w:rFonts w:ascii="Arial" w:hAnsi="Arial" w:cs="Arial"/>
          <w:i/>
          <w:sz w:val="20"/>
          <w:szCs w:val="28"/>
        </w:rPr>
        <w:t>Căn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cứ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Nghị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163/2016/NĐ-CP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ngày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21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12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2016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phủ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quy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tiết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một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Luật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>;</w:t>
      </w:r>
    </w:p>
    <w:p w14:paraId="62CDC6B7" w14:textId="77777777" w:rsidR="009B3693" w:rsidRPr="00A34AE3" w:rsidRDefault="009B3693" w:rsidP="00A34AE3">
      <w:pPr>
        <w:spacing w:before="120"/>
        <w:rPr>
          <w:rFonts w:ascii="Arial" w:hAnsi="Arial" w:cs="Arial"/>
          <w:i/>
          <w:sz w:val="20"/>
          <w:szCs w:val="28"/>
        </w:rPr>
      </w:pPr>
      <w:proofErr w:type="spellStart"/>
      <w:r w:rsidRPr="00A34AE3">
        <w:rPr>
          <w:rFonts w:ascii="Arial" w:hAnsi="Arial" w:cs="Arial"/>
          <w:i/>
          <w:sz w:val="20"/>
          <w:szCs w:val="28"/>
        </w:rPr>
        <w:t>Căn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cứ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Thông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342/2016/TT-BTC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ngày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30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12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2016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Bộ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trưởng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Bộ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Tài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quy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tiết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hướng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dẫn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một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Nghị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163/2016/NĐ-CP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ngày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21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12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2016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phủ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quy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tiết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một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Luật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>;</w:t>
      </w:r>
    </w:p>
    <w:p w14:paraId="0B4D4B07" w14:textId="77777777" w:rsidR="009B3693" w:rsidRPr="00A34AE3" w:rsidRDefault="009B3693" w:rsidP="00A34AE3">
      <w:pPr>
        <w:spacing w:before="120"/>
        <w:rPr>
          <w:rFonts w:ascii="Arial" w:hAnsi="Arial" w:cs="Arial"/>
          <w:i/>
          <w:sz w:val="20"/>
          <w:szCs w:val="28"/>
        </w:rPr>
      </w:pPr>
      <w:proofErr w:type="spellStart"/>
      <w:r w:rsidRPr="00A34AE3">
        <w:rPr>
          <w:rFonts w:ascii="Arial" w:hAnsi="Arial" w:cs="Arial"/>
          <w:i/>
          <w:sz w:val="20"/>
          <w:szCs w:val="28"/>
        </w:rPr>
        <w:t>Căn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cứ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1506/QĐ-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TTg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ngày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02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12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2022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Thủ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tướng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phủ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về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giao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2023;</w:t>
      </w:r>
    </w:p>
    <w:p w14:paraId="2F43F847" w14:textId="77777777" w:rsidR="009B3693" w:rsidRPr="00A34AE3" w:rsidRDefault="009B3693" w:rsidP="00A34AE3">
      <w:pPr>
        <w:spacing w:before="120"/>
        <w:rPr>
          <w:rFonts w:ascii="Arial" w:hAnsi="Arial" w:cs="Arial"/>
          <w:i/>
          <w:sz w:val="20"/>
          <w:szCs w:val="28"/>
        </w:rPr>
      </w:pPr>
      <w:proofErr w:type="spellStart"/>
      <w:r w:rsidRPr="00A34AE3">
        <w:rPr>
          <w:rFonts w:ascii="Arial" w:hAnsi="Arial" w:cs="Arial"/>
          <w:i/>
          <w:sz w:val="20"/>
          <w:szCs w:val="28"/>
        </w:rPr>
        <w:t>Xét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Tờ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trình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153/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TTr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-UBND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ngày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07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11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2022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Uỷ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ban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về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án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2023;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Báo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cáo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thẩm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tra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Ban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Kinh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tế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-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i/>
          <w:sz w:val="20"/>
          <w:szCs w:val="28"/>
          <w:lang w:val="vi-VN"/>
        </w:rPr>
        <w:t>;</w:t>
      </w:r>
      <w:r w:rsidRPr="00A34AE3">
        <w:rPr>
          <w:rFonts w:ascii="Arial" w:hAnsi="Arial" w:cs="Arial"/>
          <w:i/>
          <w:sz w:val="20"/>
          <w:szCs w:val="28"/>
        </w:rPr>
        <w:t xml:space="preserve"> ý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kiến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thảo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luận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đại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biểu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tại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kỳ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họp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>.</w:t>
      </w:r>
    </w:p>
    <w:p w14:paraId="5D988020" w14:textId="77777777" w:rsidR="009B3693" w:rsidRPr="00A34AE3" w:rsidRDefault="009B3693" w:rsidP="00A34AE3">
      <w:pPr>
        <w:pStyle w:val="BodyTextIndent"/>
        <w:spacing w:before="120"/>
        <w:jc w:val="center"/>
        <w:rPr>
          <w:rFonts w:ascii="Arial" w:hAnsi="Arial" w:cs="Arial"/>
          <w:b w:val="0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>QUYẾT NGHỊ:</w:t>
      </w:r>
    </w:p>
    <w:p w14:paraId="3E783EA4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A34AE3">
        <w:rPr>
          <w:rFonts w:ascii="Arial" w:hAnsi="Arial" w:cs="Arial"/>
          <w:b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1.</w:t>
      </w:r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Phê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chuẩn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2023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2023:</w:t>
      </w:r>
    </w:p>
    <w:p w14:paraId="2607EC73" w14:textId="77777777" w:rsidR="009B3693" w:rsidRPr="00A34AE3" w:rsidRDefault="009B3693" w:rsidP="00A34AE3">
      <w:pPr>
        <w:spacing w:before="120"/>
        <w:rPr>
          <w:rFonts w:ascii="Arial" w:hAnsi="Arial" w:cs="Arial"/>
          <w:b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A.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Phê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chuẩn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2023</w:t>
      </w:r>
    </w:p>
    <w:p w14:paraId="1906CD93" w14:textId="77777777" w:rsidR="009B3693" w:rsidRPr="00A34AE3" w:rsidRDefault="009B3693" w:rsidP="00A34AE3">
      <w:pPr>
        <w:spacing w:before="120"/>
        <w:rPr>
          <w:rFonts w:ascii="Arial" w:hAnsi="Arial" w:cs="Arial"/>
          <w:b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I.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>:</w:t>
      </w:r>
    </w:p>
    <w:p w14:paraId="3509330E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1.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trên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bàn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: 7.590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>:</w:t>
      </w:r>
    </w:p>
    <w:p w14:paraId="3CF871D5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a) Thu </w:t>
      </w:r>
      <w:proofErr w:type="spellStart"/>
      <w:r w:rsidRPr="00A34AE3">
        <w:rPr>
          <w:rFonts w:ascii="Arial" w:hAnsi="Arial" w:cs="Arial"/>
          <w:sz w:val="20"/>
          <w:szCs w:val="28"/>
        </w:rPr>
        <w:t>nội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7.440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2233D8BD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b) Thu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hoạt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động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xuất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nhập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khẩu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150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3A0E94C4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2. Thu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: 15.820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34AE3">
        <w:rPr>
          <w:rFonts w:ascii="Arial" w:hAnsi="Arial" w:cs="Arial"/>
          <w:sz w:val="20"/>
          <w:szCs w:val="28"/>
        </w:rPr>
        <w:t>lấy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tròn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),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>:</w:t>
      </w:r>
    </w:p>
    <w:p w14:paraId="5C6DEF54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a) Thu </w:t>
      </w:r>
      <w:proofErr w:type="spellStart"/>
      <w:r w:rsidRPr="00A34AE3">
        <w:rPr>
          <w:rFonts w:ascii="Arial" w:hAnsi="Arial" w:cs="Arial"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được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hưởng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6.704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00835857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b) Thu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Trung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9.084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>:</w:t>
      </w:r>
    </w:p>
    <w:p w14:paraId="49E0A785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-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cân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đối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6.487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4A876FB6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-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2.597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nhiệm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vụ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quan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trọng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triển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2.418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nhiệm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vụ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nghiệp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179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48D5689E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c) Thu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phủ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lại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31,5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3E1B4486" w14:textId="77777777" w:rsidR="009B3693" w:rsidRPr="00A34AE3" w:rsidRDefault="009B3693" w:rsidP="00A34AE3">
      <w:pPr>
        <w:spacing w:before="120"/>
        <w:rPr>
          <w:rFonts w:ascii="Arial" w:hAnsi="Arial" w:cs="Arial"/>
          <w:b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II.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>:</w:t>
      </w:r>
    </w:p>
    <w:p w14:paraId="37209B54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</w:t>
      </w:r>
      <w:r w:rsidRPr="00A34AE3">
        <w:rPr>
          <w:rFonts w:ascii="Arial" w:hAnsi="Arial" w:cs="Arial"/>
          <w:b/>
          <w:sz w:val="20"/>
          <w:szCs w:val="28"/>
        </w:rPr>
        <w:t xml:space="preserve">15.820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34AE3">
        <w:rPr>
          <w:rFonts w:ascii="Arial" w:hAnsi="Arial" w:cs="Arial"/>
          <w:sz w:val="20"/>
          <w:szCs w:val="28"/>
        </w:rPr>
        <w:t>lấy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tròn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),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>:</w:t>
      </w:r>
    </w:p>
    <w:p w14:paraId="78F3A666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1. Chi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triển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(</w:t>
      </w:r>
      <w:proofErr w:type="spellStart"/>
      <w:r w:rsidRPr="00A34AE3">
        <w:rPr>
          <w:rFonts w:ascii="Arial" w:hAnsi="Arial" w:cs="Arial"/>
          <w:b/>
          <w:i/>
          <w:sz w:val="20"/>
          <w:szCs w:val="28"/>
        </w:rPr>
        <w:t>phần</w:t>
      </w:r>
      <w:proofErr w:type="spellEnd"/>
      <w:r w:rsidRPr="00A34AE3">
        <w:rPr>
          <w:rFonts w:ascii="Arial" w:hAnsi="Arial" w:cs="Arial"/>
          <w:b/>
          <w:i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b/>
          <w:i/>
          <w:sz w:val="20"/>
          <w:szCs w:val="28"/>
        </w:rPr>
        <w:t>cân</w:t>
      </w:r>
      <w:proofErr w:type="spellEnd"/>
      <w:r w:rsidRPr="00A34AE3">
        <w:rPr>
          <w:rFonts w:ascii="Arial" w:hAnsi="Arial" w:cs="Arial"/>
          <w:b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i/>
          <w:sz w:val="20"/>
          <w:szCs w:val="28"/>
        </w:rPr>
        <w:t>đối</w:t>
      </w:r>
      <w:proofErr w:type="spellEnd"/>
      <w:r w:rsidRPr="00A34AE3">
        <w:rPr>
          <w:rFonts w:ascii="Arial" w:hAnsi="Arial" w:cs="Arial"/>
          <w:b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i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i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i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b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i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): 3.561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>:</w:t>
      </w:r>
    </w:p>
    <w:p w14:paraId="3643A2CC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a) Chi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xây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cơ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1.061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5BC93CCE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b) Chi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tiền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dụng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đất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900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522E9CBA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c) Chi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kiến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thiết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1.600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613F6901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A34AE3">
        <w:rPr>
          <w:rFonts w:ascii="Arial" w:hAnsi="Arial" w:cs="Arial"/>
          <w:sz w:val="20"/>
          <w:szCs w:val="28"/>
        </w:rPr>
        <w:t>Nếu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kể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sz w:val="20"/>
          <w:szCs w:val="28"/>
        </w:rPr>
        <w:t>trả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gốc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bội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) </w:t>
      </w:r>
      <w:proofErr w:type="spellStart"/>
      <w:r w:rsidRPr="00A34AE3">
        <w:rPr>
          <w:rFonts w:ascii="Arial" w:hAnsi="Arial" w:cs="Arial"/>
          <w:sz w:val="20"/>
          <w:szCs w:val="28"/>
        </w:rPr>
        <w:t>là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247,800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thì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triển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3.313,2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. </w:t>
      </w:r>
    </w:p>
    <w:p w14:paraId="58AC389C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2. Chi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thường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xuyên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: 9.354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>:</w:t>
      </w:r>
    </w:p>
    <w:p w14:paraId="62048C11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a) Chi </w:t>
      </w:r>
      <w:proofErr w:type="spellStart"/>
      <w:r w:rsidRPr="00A34AE3">
        <w:rPr>
          <w:rFonts w:ascii="Arial" w:hAnsi="Arial" w:cs="Arial"/>
          <w:sz w:val="20"/>
          <w:szCs w:val="28"/>
        </w:rPr>
        <w:t>sự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nghiệp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giáo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đào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tạo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dạy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4.180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637E4862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lastRenderedPageBreak/>
        <w:t xml:space="preserve">b) Chi </w:t>
      </w:r>
      <w:proofErr w:type="spellStart"/>
      <w:r w:rsidRPr="00A34AE3">
        <w:rPr>
          <w:rFonts w:ascii="Arial" w:hAnsi="Arial" w:cs="Arial"/>
          <w:sz w:val="20"/>
          <w:szCs w:val="28"/>
        </w:rPr>
        <w:t>sự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nghiệp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khoa </w:t>
      </w:r>
      <w:proofErr w:type="spellStart"/>
      <w:r w:rsidRPr="00A34AE3">
        <w:rPr>
          <w:rFonts w:ascii="Arial" w:hAnsi="Arial" w:cs="Arial"/>
          <w:sz w:val="20"/>
          <w:szCs w:val="28"/>
        </w:rPr>
        <w:t>học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công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nghệ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31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7EABBA21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c)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khoản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sz w:val="20"/>
          <w:szCs w:val="28"/>
        </w:rPr>
        <w:t>thường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xuyên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còn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lại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5.143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1D107EB9" w14:textId="77777777" w:rsidR="009B3693" w:rsidRPr="00A34AE3" w:rsidRDefault="009B3693" w:rsidP="00A34AE3">
      <w:pPr>
        <w:spacing w:before="120"/>
        <w:rPr>
          <w:rFonts w:ascii="Arial" w:hAnsi="Arial" w:cs="Arial"/>
          <w:b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3. Chi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Quỹ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trữ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tài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: 2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>.</w:t>
      </w:r>
    </w:p>
    <w:p w14:paraId="1CDA4711" w14:textId="77777777" w:rsidR="009B3693" w:rsidRPr="00A34AE3" w:rsidRDefault="009B3693" w:rsidP="00A34AE3">
      <w:pPr>
        <w:spacing w:before="120"/>
        <w:rPr>
          <w:rFonts w:ascii="Arial" w:hAnsi="Arial" w:cs="Arial"/>
          <w:b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4.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phòng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: 275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>.</w:t>
      </w:r>
    </w:p>
    <w:p w14:paraId="7CE51211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5. Chi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Trung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ương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: 2.597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vụ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quan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trọng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triển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2.418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vụ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quan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trọng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nghiệp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179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7AF30D89" w14:textId="77777777" w:rsidR="009B3693" w:rsidRPr="00A34AE3" w:rsidRDefault="009B3693" w:rsidP="00A34AE3">
      <w:pPr>
        <w:spacing w:before="120"/>
        <w:rPr>
          <w:rFonts w:ascii="Arial" w:hAnsi="Arial" w:cs="Arial"/>
          <w:b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6. Chi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phủ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về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cho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lại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: 31,5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>.</w:t>
      </w:r>
    </w:p>
    <w:p w14:paraId="595B283F" w14:textId="77777777" w:rsidR="009B3693" w:rsidRPr="00A34AE3" w:rsidRDefault="009B3693" w:rsidP="00A34AE3">
      <w:pPr>
        <w:spacing w:before="120"/>
        <w:rPr>
          <w:rFonts w:ascii="Arial" w:hAnsi="Arial" w:cs="Arial"/>
          <w:b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B.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Phê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chuẩn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2023</w:t>
      </w:r>
    </w:p>
    <w:p w14:paraId="1923CCE2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1.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Tổng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: 12.923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lấy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tròn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),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>:</w:t>
      </w:r>
    </w:p>
    <w:p w14:paraId="0D77C555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a) Thu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hưởng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3.807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46DA0F71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b) Thu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Trung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9.084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368F396B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c) Thu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phủ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lại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31,5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2F9A8FC5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b/>
          <w:sz w:val="20"/>
          <w:szCs w:val="28"/>
        </w:rPr>
        <w:t xml:space="preserve">2.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Tổng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: 12.923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b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lấy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tròn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),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>:</w:t>
      </w:r>
    </w:p>
    <w:p w14:paraId="578A407F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a) Chi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triển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phần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đối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): 2.240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>:</w:t>
      </w:r>
    </w:p>
    <w:p w14:paraId="6DD9305C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- Chi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xây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cơ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540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40212CA9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- Chi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đảm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bảo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lệ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Quỹ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triển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đất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tiền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dụng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đất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100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53BB3752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- Chi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kiến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thiết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1.600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50461C28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b) Chi </w:t>
      </w:r>
      <w:proofErr w:type="spellStart"/>
      <w:r w:rsidRPr="00A34AE3">
        <w:rPr>
          <w:rFonts w:ascii="Arial" w:hAnsi="Arial" w:cs="Arial"/>
          <w:sz w:val="20"/>
          <w:szCs w:val="28"/>
        </w:rPr>
        <w:t>thường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xuyên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3.168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</w:t>
      </w:r>
    </w:p>
    <w:p w14:paraId="2CB2FC6E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- Chi </w:t>
      </w:r>
      <w:proofErr w:type="spellStart"/>
      <w:r w:rsidRPr="00A34AE3">
        <w:rPr>
          <w:rFonts w:ascii="Arial" w:hAnsi="Arial" w:cs="Arial"/>
          <w:sz w:val="20"/>
          <w:szCs w:val="28"/>
        </w:rPr>
        <w:t>sự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nghiệp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giáo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- </w:t>
      </w:r>
      <w:proofErr w:type="spellStart"/>
      <w:r w:rsidRPr="00A34AE3">
        <w:rPr>
          <w:rFonts w:ascii="Arial" w:hAnsi="Arial" w:cs="Arial"/>
          <w:sz w:val="20"/>
          <w:szCs w:val="28"/>
        </w:rPr>
        <w:t>đào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tạo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dạy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1.017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698ACFE4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- Chi </w:t>
      </w:r>
      <w:proofErr w:type="spellStart"/>
      <w:r w:rsidRPr="00A34AE3">
        <w:rPr>
          <w:rFonts w:ascii="Arial" w:hAnsi="Arial" w:cs="Arial"/>
          <w:sz w:val="20"/>
          <w:szCs w:val="28"/>
        </w:rPr>
        <w:t>sự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nghiệp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khoa </w:t>
      </w:r>
      <w:proofErr w:type="spellStart"/>
      <w:r w:rsidRPr="00A34AE3">
        <w:rPr>
          <w:rFonts w:ascii="Arial" w:hAnsi="Arial" w:cs="Arial"/>
          <w:sz w:val="20"/>
          <w:szCs w:val="28"/>
        </w:rPr>
        <w:t>học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công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nghệ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31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0D56460F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-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khoản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sz w:val="20"/>
          <w:szCs w:val="28"/>
        </w:rPr>
        <w:t>thường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xuyên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còn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lại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2.120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41CA53F6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c) Chi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Quỹ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trữ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tài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2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0A03EC26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d) </w:t>
      </w: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phòng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135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538710DF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đ) Chi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Trung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2.597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vụ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quan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trọng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triển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2.418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vụ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quan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trọng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nghiệp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179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7F9F1526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e) Chi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phủ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lại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31,5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14FB405A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g) Chi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cho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huyện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thành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phố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4.749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(</w:t>
      </w:r>
      <w:proofErr w:type="spellStart"/>
      <w:r w:rsidRPr="00A34AE3">
        <w:rPr>
          <w:rFonts w:ascii="Arial" w:hAnsi="Arial" w:cs="Arial"/>
          <w:sz w:val="20"/>
          <w:szCs w:val="28"/>
        </w:rPr>
        <w:t>lấy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tròn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), bao </w:t>
      </w:r>
      <w:proofErr w:type="spellStart"/>
      <w:r w:rsidRPr="00A34AE3">
        <w:rPr>
          <w:rFonts w:ascii="Arial" w:hAnsi="Arial" w:cs="Arial"/>
          <w:sz w:val="20"/>
          <w:szCs w:val="28"/>
        </w:rPr>
        <w:t>gồm</w:t>
      </w:r>
      <w:proofErr w:type="spellEnd"/>
      <w:r w:rsidRPr="00A34AE3">
        <w:rPr>
          <w:rFonts w:ascii="Arial" w:hAnsi="Arial" w:cs="Arial"/>
          <w:sz w:val="20"/>
          <w:szCs w:val="28"/>
        </w:rPr>
        <w:t>:</w:t>
      </w:r>
    </w:p>
    <w:p w14:paraId="05E085C1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-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cân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đối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4.431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1177F46A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-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: 318 </w:t>
      </w:r>
      <w:proofErr w:type="spellStart"/>
      <w:r w:rsidRPr="00A34AE3">
        <w:rPr>
          <w:rFonts w:ascii="Arial" w:hAnsi="Arial" w:cs="Arial"/>
          <w:sz w:val="20"/>
          <w:szCs w:val="28"/>
        </w:rPr>
        <w:t>tỷ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41E83BEF" w14:textId="77777777" w:rsidR="009B3693" w:rsidRPr="00A34AE3" w:rsidRDefault="009B3693" w:rsidP="00A34AE3">
      <w:pPr>
        <w:spacing w:before="120"/>
        <w:jc w:val="center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>(</w:t>
      </w:r>
      <w:r w:rsidRPr="00A34AE3">
        <w:rPr>
          <w:rFonts w:ascii="Arial" w:hAnsi="Arial" w:cs="Arial"/>
          <w:i/>
          <w:sz w:val="20"/>
          <w:szCs w:val="28"/>
        </w:rPr>
        <w:t xml:space="preserve">Chi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tiết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tại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Phụ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lục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số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: 1, 2, 3, 4, 5, 6, 7, 8, 9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đính</w:t>
      </w:r>
      <w:proofErr w:type="spellEnd"/>
      <w:r w:rsidRPr="00A34AE3">
        <w:rPr>
          <w:rFonts w:ascii="Arial" w:hAnsi="Arial" w:cs="Arial"/>
          <w:i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i/>
          <w:sz w:val="20"/>
          <w:szCs w:val="28"/>
        </w:rPr>
        <w:t>kèm</w:t>
      </w:r>
      <w:proofErr w:type="spellEnd"/>
      <w:r w:rsidRPr="00A34AE3">
        <w:rPr>
          <w:rFonts w:ascii="Arial" w:hAnsi="Arial" w:cs="Arial"/>
          <w:sz w:val="20"/>
          <w:szCs w:val="28"/>
        </w:rPr>
        <w:t>)</w:t>
      </w:r>
    </w:p>
    <w:p w14:paraId="055006DC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A34AE3">
        <w:rPr>
          <w:rFonts w:ascii="Arial" w:hAnsi="Arial" w:cs="Arial"/>
          <w:b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2.</w:t>
      </w:r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giải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2023.</w:t>
      </w:r>
    </w:p>
    <w:p w14:paraId="6A23E0E3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1. </w:t>
      </w:r>
      <w:proofErr w:type="spellStart"/>
      <w:r w:rsidRPr="00A34AE3">
        <w:rPr>
          <w:rFonts w:ascii="Arial" w:hAnsi="Arial" w:cs="Arial"/>
          <w:sz w:val="20"/>
          <w:szCs w:val="28"/>
        </w:rPr>
        <w:t>Tiếp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đổi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mới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công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chỉ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đạo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công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tài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đề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xuất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nhanh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gọn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dung </w:t>
      </w:r>
      <w:proofErr w:type="spellStart"/>
      <w:r w:rsidRPr="00A34AE3">
        <w:rPr>
          <w:rFonts w:ascii="Arial" w:hAnsi="Arial" w:cs="Arial"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vấn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tài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7D7762CA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2. </w:t>
      </w:r>
      <w:proofErr w:type="spellStart"/>
      <w:r w:rsidRPr="00A34AE3">
        <w:rPr>
          <w:rFonts w:ascii="Arial" w:hAnsi="Arial" w:cs="Arial"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đúng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Nghị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phấn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đấu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tăng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tiết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chi. </w:t>
      </w:r>
      <w:proofErr w:type="spellStart"/>
      <w:r w:rsidRPr="00A34AE3">
        <w:rPr>
          <w:rFonts w:ascii="Arial" w:hAnsi="Arial" w:cs="Arial"/>
          <w:sz w:val="20"/>
          <w:szCs w:val="28"/>
        </w:rPr>
        <w:t>Ưu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để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trọng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điểm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an </w:t>
      </w:r>
      <w:proofErr w:type="spellStart"/>
      <w:r w:rsidRPr="00A34AE3">
        <w:rPr>
          <w:rFonts w:ascii="Arial" w:hAnsi="Arial" w:cs="Arial"/>
          <w:sz w:val="20"/>
          <w:szCs w:val="28"/>
        </w:rPr>
        <w:t>sinh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. </w:t>
      </w:r>
      <w:proofErr w:type="spellStart"/>
      <w:r w:rsidRPr="00A34AE3">
        <w:rPr>
          <w:rFonts w:ascii="Arial" w:hAnsi="Arial" w:cs="Arial"/>
          <w:sz w:val="20"/>
          <w:szCs w:val="28"/>
        </w:rPr>
        <w:t>Tăng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cường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đảm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bảo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. </w:t>
      </w:r>
      <w:proofErr w:type="spellStart"/>
      <w:r w:rsidRPr="00A34AE3">
        <w:rPr>
          <w:rFonts w:ascii="Arial" w:hAnsi="Arial" w:cs="Arial"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đảm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bảo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tổng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mức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2023 </w:t>
      </w:r>
      <w:proofErr w:type="spellStart"/>
      <w:r w:rsidRPr="00A34AE3">
        <w:rPr>
          <w:rFonts w:ascii="Arial" w:hAnsi="Arial" w:cs="Arial"/>
          <w:sz w:val="20"/>
          <w:szCs w:val="28"/>
        </w:rPr>
        <w:t>đã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được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xác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thứ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ưu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vụ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sz w:val="20"/>
          <w:szCs w:val="28"/>
        </w:rPr>
        <w:t>hợp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để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đảm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bảo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được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tế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- </w:t>
      </w:r>
      <w:proofErr w:type="spellStart"/>
      <w:r w:rsidRPr="00A34AE3">
        <w:rPr>
          <w:rFonts w:ascii="Arial" w:hAnsi="Arial" w:cs="Arial"/>
          <w:sz w:val="20"/>
          <w:szCs w:val="28"/>
        </w:rPr>
        <w:t>xã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ra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34AE3">
        <w:rPr>
          <w:rFonts w:ascii="Arial" w:hAnsi="Arial" w:cs="Arial"/>
          <w:sz w:val="20"/>
          <w:szCs w:val="28"/>
        </w:rPr>
        <w:t>hạn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chế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tối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ứng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. </w:t>
      </w:r>
      <w:proofErr w:type="spellStart"/>
      <w:r w:rsidRPr="00A34AE3">
        <w:rPr>
          <w:rFonts w:ascii="Arial" w:hAnsi="Arial" w:cs="Arial"/>
          <w:sz w:val="20"/>
          <w:szCs w:val="28"/>
        </w:rPr>
        <w:t>Đối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với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chế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độ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nhiệm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vụ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đặc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thù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do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30 </w:t>
      </w:r>
      <w:proofErr w:type="spellStart"/>
      <w:r w:rsidRPr="00A34AE3">
        <w:rPr>
          <w:rFonts w:ascii="Arial" w:hAnsi="Arial" w:cs="Arial"/>
          <w:sz w:val="20"/>
          <w:szCs w:val="28"/>
        </w:rPr>
        <w:t>Luật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phải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giải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đảm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bảo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tài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phù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hợp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với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năng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đối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chủ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động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bố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trong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phạm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vi </w:t>
      </w: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chi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được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giao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hàng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6815E906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3.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huyện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phải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phấn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đấu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tăng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kiên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tình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đọng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thuế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tập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trung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kịp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thời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khoản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kế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hoạch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sắp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xếp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hồi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để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34AE3">
        <w:rPr>
          <w:rFonts w:ascii="Arial" w:hAnsi="Arial" w:cs="Arial"/>
          <w:sz w:val="20"/>
          <w:szCs w:val="28"/>
        </w:rPr>
        <w:t>nhất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tôn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nền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cụm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tuyến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để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thanh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đúng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hạn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2B997EF2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4. </w:t>
      </w:r>
      <w:proofErr w:type="spellStart"/>
      <w:r w:rsidRPr="00A34AE3">
        <w:rPr>
          <w:rFonts w:ascii="Arial" w:hAnsi="Arial" w:cs="Arial"/>
          <w:sz w:val="20"/>
          <w:szCs w:val="28"/>
        </w:rPr>
        <w:t>Thường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xuyên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vị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nghiệp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huyện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nghiêm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túc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chế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độ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chủ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34AE3">
        <w:rPr>
          <w:rFonts w:ascii="Arial" w:hAnsi="Arial" w:cs="Arial"/>
          <w:sz w:val="20"/>
          <w:szCs w:val="28"/>
        </w:rPr>
        <w:t>triệt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để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kiệm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chống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lãng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trong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dụng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3AA7D5BE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5. </w:t>
      </w:r>
      <w:proofErr w:type="spellStart"/>
      <w:r w:rsidRPr="00A34AE3">
        <w:rPr>
          <w:rFonts w:ascii="Arial" w:hAnsi="Arial" w:cs="Arial"/>
          <w:sz w:val="20"/>
          <w:szCs w:val="28"/>
        </w:rPr>
        <w:t>Đẩy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mạnh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lộ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trình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giá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dịch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vụ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công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làm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cơ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sở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giao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quyền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chủ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vị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nghiệp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công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phủ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53BFACF8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6. </w:t>
      </w:r>
      <w:proofErr w:type="spellStart"/>
      <w:r w:rsidRPr="00A34AE3">
        <w:rPr>
          <w:rFonts w:ascii="Arial" w:hAnsi="Arial" w:cs="Arial"/>
          <w:sz w:val="20"/>
          <w:szCs w:val="28"/>
        </w:rPr>
        <w:t>Tăng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cường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công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thanh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kiểm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vị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dụng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nhất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thanh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quỹ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tài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gốc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hình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7B5B82DA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7. </w:t>
      </w:r>
      <w:proofErr w:type="spellStart"/>
      <w:r w:rsidRPr="00A34AE3">
        <w:rPr>
          <w:rFonts w:ascii="Arial" w:hAnsi="Arial" w:cs="Arial"/>
          <w:sz w:val="20"/>
          <w:szCs w:val="28"/>
        </w:rPr>
        <w:t>Đẩy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nhanh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tiến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độ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giải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34AE3">
        <w:rPr>
          <w:rFonts w:ascii="Arial" w:hAnsi="Arial" w:cs="Arial"/>
          <w:sz w:val="20"/>
          <w:szCs w:val="28"/>
        </w:rPr>
        <w:t>trong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chú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ý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công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trình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Trung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mục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tiêu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vay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ưu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đãi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. </w:t>
      </w:r>
      <w:proofErr w:type="spellStart"/>
      <w:r w:rsidRPr="00A34AE3">
        <w:rPr>
          <w:rFonts w:ascii="Arial" w:hAnsi="Arial" w:cs="Arial"/>
          <w:sz w:val="20"/>
          <w:szCs w:val="28"/>
        </w:rPr>
        <w:t>Kiểm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tình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hình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quản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dụng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gốc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tại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chủ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để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đảm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bảo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việc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dụng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2023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hướng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tập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trung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quan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trọng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phải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hoàn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trong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2023.</w:t>
      </w:r>
    </w:p>
    <w:p w14:paraId="00B7E075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r w:rsidRPr="00A34AE3">
        <w:rPr>
          <w:rFonts w:ascii="Arial" w:hAnsi="Arial" w:cs="Arial"/>
          <w:sz w:val="20"/>
          <w:szCs w:val="28"/>
        </w:rPr>
        <w:t xml:space="preserve">8. </w:t>
      </w:r>
      <w:proofErr w:type="spellStart"/>
      <w:r w:rsidRPr="00A34AE3">
        <w:rPr>
          <w:rFonts w:ascii="Arial" w:hAnsi="Arial" w:cs="Arial"/>
          <w:sz w:val="20"/>
          <w:szCs w:val="28"/>
        </w:rPr>
        <w:t>Cơ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quan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tài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phối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hợp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Uỷ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ban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huyện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thành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phố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liệt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bộ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biện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giá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Luật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giá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kiểm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giám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để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mọi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chức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cá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doanh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đúng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đăng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kê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khai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niêm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giá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niêm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A34AE3">
        <w:rPr>
          <w:rFonts w:ascii="Arial" w:hAnsi="Arial" w:cs="Arial"/>
          <w:sz w:val="20"/>
          <w:szCs w:val="28"/>
        </w:rPr>
        <w:t>xử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nghiêm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trường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hợp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vi </w:t>
      </w:r>
      <w:proofErr w:type="spellStart"/>
      <w:r w:rsidRPr="00A34AE3">
        <w:rPr>
          <w:rFonts w:ascii="Arial" w:hAnsi="Arial" w:cs="Arial"/>
          <w:sz w:val="20"/>
          <w:szCs w:val="28"/>
        </w:rPr>
        <w:t>phạm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quản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lý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giá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</w:p>
    <w:p w14:paraId="292A9457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A34AE3">
        <w:rPr>
          <w:rFonts w:ascii="Arial" w:hAnsi="Arial" w:cs="Arial"/>
          <w:b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3.</w:t>
      </w:r>
      <w:r w:rsidRPr="00A34AE3">
        <w:rPr>
          <w:rFonts w:ascii="Arial" w:hAnsi="Arial" w:cs="Arial"/>
          <w:sz w:val="20"/>
          <w:szCs w:val="28"/>
        </w:rPr>
        <w:t xml:space="preserve"> Giao </w:t>
      </w:r>
      <w:proofErr w:type="spellStart"/>
      <w:r w:rsidRPr="00A34AE3">
        <w:rPr>
          <w:rFonts w:ascii="Arial" w:hAnsi="Arial" w:cs="Arial"/>
          <w:sz w:val="20"/>
          <w:szCs w:val="28"/>
        </w:rPr>
        <w:t>Uỷ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ban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chức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được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nghị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. </w:t>
      </w:r>
      <w:proofErr w:type="spellStart"/>
      <w:r w:rsidRPr="00A34AE3">
        <w:rPr>
          <w:rFonts w:ascii="Arial" w:hAnsi="Arial" w:cs="Arial"/>
          <w:sz w:val="20"/>
          <w:szCs w:val="28"/>
        </w:rPr>
        <w:t>Chỉ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đạo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sở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ban, </w:t>
      </w:r>
      <w:proofErr w:type="spellStart"/>
      <w:r w:rsidRPr="00A34AE3">
        <w:rPr>
          <w:rFonts w:ascii="Arial" w:hAnsi="Arial" w:cs="Arial"/>
          <w:sz w:val="20"/>
          <w:szCs w:val="28"/>
        </w:rPr>
        <w:t>ngành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Uỷ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ban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huyện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thành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phố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tập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trung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phấn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đấu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vượt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toán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để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thêm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nguồn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chính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tiền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bổ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sung </w:t>
      </w:r>
      <w:proofErr w:type="spellStart"/>
      <w:r w:rsidRPr="00A34AE3">
        <w:rPr>
          <w:rFonts w:ascii="Arial" w:hAnsi="Arial" w:cs="Arial"/>
          <w:sz w:val="20"/>
          <w:szCs w:val="28"/>
        </w:rPr>
        <w:t>vốn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đầu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tư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triển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giải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vấn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cấp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đột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xuất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sinh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. </w:t>
      </w:r>
      <w:proofErr w:type="spellStart"/>
      <w:r w:rsidRPr="00A34AE3">
        <w:rPr>
          <w:rFonts w:ascii="Arial" w:hAnsi="Arial" w:cs="Arial"/>
          <w:sz w:val="20"/>
          <w:szCs w:val="28"/>
        </w:rPr>
        <w:t>Trường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hợp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biến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động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lớn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về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chi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Uỷ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ban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xây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dựng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phương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án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chỉnh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trình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Thường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theo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đúng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định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của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Luật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sách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nước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. </w:t>
      </w:r>
    </w:p>
    <w:p w14:paraId="61898B0C" w14:textId="77777777" w:rsidR="009B3693" w:rsidRPr="00A34AE3" w:rsidRDefault="009B3693" w:rsidP="00A34AE3">
      <w:pPr>
        <w:spacing w:before="120"/>
        <w:rPr>
          <w:rFonts w:ascii="Arial" w:hAnsi="Arial" w:cs="Arial"/>
          <w:sz w:val="20"/>
          <w:szCs w:val="28"/>
        </w:rPr>
      </w:pPr>
      <w:proofErr w:type="spellStart"/>
      <w:r w:rsidRPr="00A34AE3">
        <w:rPr>
          <w:rFonts w:ascii="Arial" w:hAnsi="Arial" w:cs="Arial"/>
          <w:b/>
          <w:sz w:val="20"/>
          <w:szCs w:val="28"/>
        </w:rPr>
        <w:t>Điều</w:t>
      </w:r>
      <w:proofErr w:type="spellEnd"/>
      <w:r w:rsidRPr="00A34AE3">
        <w:rPr>
          <w:rFonts w:ascii="Arial" w:hAnsi="Arial" w:cs="Arial"/>
          <w:b/>
          <w:sz w:val="20"/>
          <w:szCs w:val="28"/>
        </w:rPr>
        <w:t xml:space="preserve"> 4.</w:t>
      </w:r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Thường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trực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Ban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A34AE3">
        <w:rPr>
          <w:rFonts w:ascii="Arial" w:hAnsi="Arial" w:cs="Arial"/>
          <w:sz w:val="20"/>
          <w:szCs w:val="28"/>
        </w:rPr>
        <w:t>các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Tổ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đại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biểu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đại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biểu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giám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sát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việc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Nghị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này</w:t>
      </w:r>
      <w:proofErr w:type="spellEnd"/>
      <w:r w:rsidRPr="00A34AE3">
        <w:rPr>
          <w:rFonts w:ascii="Arial" w:hAnsi="Arial" w:cs="Arial"/>
          <w:sz w:val="20"/>
          <w:szCs w:val="28"/>
        </w:rPr>
        <w:t>.</w:t>
      </w:r>
      <w:bookmarkStart w:id="0" w:name="_GoBack"/>
      <w:bookmarkEnd w:id="0"/>
    </w:p>
    <w:p w14:paraId="74A82E99" w14:textId="77777777" w:rsidR="009B3693" w:rsidRPr="00A34AE3" w:rsidRDefault="009B3693" w:rsidP="00A34AE3">
      <w:pPr>
        <w:widowControl w:val="0"/>
        <w:tabs>
          <w:tab w:val="left" w:pos="0"/>
        </w:tabs>
        <w:spacing w:before="120"/>
        <w:rPr>
          <w:rFonts w:ascii="Arial" w:hAnsi="Arial" w:cs="Arial"/>
          <w:sz w:val="20"/>
          <w:szCs w:val="28"/>
        </w:rPr>
      </w:pPr>
      <w:proofErr w:type="spellStart"/>
      <w:r w:rsidRPr="00A34AE3">
        <w:rPr>
          <w:rFonts w:ascii="Arial" w:hAnsi="Arial" w:cs="Arial"/>
          <w:sz w:val="20"/>
          <w:szCs w:val="28"/>
        </w:rPr>
        <w:t>Nghị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quyết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này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đã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được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Hội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nhân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dân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tỉnh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Đồng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Tháp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Khoá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X, </w:t>
      </w:r>
      <w:proofErr w:type="spellStart"/>
      <w:r w:rsidRPr="00A34AE3">
        <w:rPr>
          <w:rFonts w:ascii="Arial" w:hAnsi="Arial" w:cs="Arial"/>
          <w:sz w:val="20"/>
          <w:szCs w:val="28"/>
        </w:rPr>
        <w:t>Kỳ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họp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thứ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thông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qua </w:t>
      </w:r>
      <w:proofErr w:type="spellStart"/>
      <w:r w:rsidRPr="00A34AE3">
        <w:rPr>
          <w:rFonts w:ascii="Arial" w:hAnsi="Arial" w:cs="Arial"/>
          <w:sz w:val="20"/>
          <w:szCs w:val="28"/>
        </w:rPr>
        <w:t>ngày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09 </w:t>
      </w:r>
      <w:proofErr w:type="spellStart"/>
      <w:r w:rsidRPr="00A34AE3">
        <w:rPr>
          <w:rFonts w:ascii="Arial" w:hAnsi="Arial" w:cs="Arial"/>
          <w:sz w:val="20"/>
          <w:szCs w:val="28"/>
        </w:rPr>
        <w:t>tháng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12 </w:t>
      </w:r>
      <w:proofErr w:type="spellStart"/>
      <w:r w:rsidRPr="00A34AE3">
        <w:rPr>
          <w:rFonts w:ascii="Arial" w:hAnsi="Arial" w:cs="Arial"/>
          <w:sz w:val="20"/>
          <w:szCs w:val="28"/>
        </w:rPr>
        <w:t>năm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2022 </w:t>
      </w:r>
      <w:proofErr w:type="spellStart"/>
      <w:r w:rsidRPr="00A34AE3">
        <w:rPr>
          <w:rFonts w:ascii="Arial" w:hAnsi="Arial" w:cs="Arial"/>
          <w:sz w:val="20"/>
          <w:szCs w:val="28"/>
        </w:rPr>
        <w:t>và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có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hiệu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lực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từ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ngày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34AE3">
        <w:rPr>
          <w:rFonts w:ascii="Arial" w:hAnsi="Arial" w:cs="Arial"/>
          <w:sz w:val="20"/>
          <w:szCs w:val="28"/>
        </w:rPr>
        <w:t>thông</w:t>
      </w:r>
      <w:proofErr w:type="spellEnd"/>
      <w:r w:rsidRPr="00A34AE3">
        <w:rPr>
          <w:rFonts w:ascii="Arial" w:hAnsi="Arial" w:cs="Arial"/>
          <w:sz w:val="20"/>
          <w:szCs w:val="28"/>
        </w:rPr>
        <w:t xml:space="preserve"> qua./.</w:t>
      </w:r>
    </w:p>
    <w:p w14:paraId="7310A701" w14:textId="77777777" w:rsidR="00EA27B9" w:rsidRPr="00A34AE3" w:rsidRDefault="00EA27B9" w:rsidP="00A34AE3">
      <w:pPr>
        <w:widowControl w:val="0"/>
        <w:tabs>
          <w:tab w:val="left" w:pos="0"/>
        </w:tabs>
        <w:spacing w:before="120"/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4068"/>
      </w:tblGrid>
      <w:tr w:rsidR="00EA27B9" w:rsidRPr="00A34AE3" w14:paraId="6A81A2E5" w14:textId="77777777">
        <w:tc>
          <w:tcPr>
            <w:tcW w:w="4788" w:type="dxa"/>
          </w:tcPr>
          <w:p w14:paraId="60E3C247" w14:textId="77777777" w:rsidR="00EA27B9" w:rsidRPr="00A34AE3" w:rsidRDefault="00EA27B9" w:rsidP="00A34AE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34AE3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proofErr w:type="spellStart"/>
            <w:r w:rsidRPr="00A34AE3">
              <w:rPr>
                <w:rFonts w:ascii="Arial" w:hAnsi="Arial" w:cs="Arial"/>
                <w:b/>
                <w:i/>
                <w:sz w:val="20"/>
                <w:szCs w:val="20"/>
              </w:rPr>
              <w:t>Nơi</w:t>
            </w:r>
            <w:proofErr w:type="spellEnd"/>
            <w:r w:rsidRPr="00A34AE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b/>
                <w:i/>
                <w:sz w:val="20"/>
                <w:szCs w:val="20"/>
              </w:rPr>
              <w:t>nhận</w:t>
            </w:r>
            <w:proofErr w:type="spellEnd"/>
            <w:r w:rsidRPr="00A34AE3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Pr="00A34AE3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A34AE3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Ủy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ban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Thường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vụ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Quốc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hội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>;</w:t>
            </w:r>
            <w:r w:rsidRPr="00A34AE3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Chính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phủ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>;</w:t>
            </w:r>
            <w:r w:rsidRPr="00A34AE3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Bộ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Tài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chính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,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Bộ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  <w:lang w:val="vi-VN"/>
              </w:rPr>
              <w:t xml:space="preserve"> </w:t>
            </w:r>
            <w:r w:rsidRPr="00A34AE3">
              <w:rPr>
                <w:rFonts w:ascii="Arial" w:hAnsi="Arial" w:cs="Arial"/>
                <w:sz w:val="16"/>
                <w:szCs w:val="22"/>
              </w:rPr>
              <w:t xml:space="preserve">KH&amp;ĐT, </w:t>
            </w:r>
            <w:r w:rsidRPr="00A34AE3">
              <w:rPr>
                <w:rFonts w:ascii="Arial" w:hAnsi="Arial" w:cs="Arial"/>
                <w:sz w:val="16"/>
                <w:szCs w:val="22"/>
                <w:lang w:val="it-IT"/>
              </w:rPr>
              <w:t>Kiểm toán nhà nước Khu vực IX</w:t>
            </w:r>
            <w:r w:rsidRPr="00A34AE3">
              <w:rPr>
                <w:rFonts w:ascii="Arial" w:hAnsi="Arial" w:cs="Arial"/>
                <w:sz w:val="16"/>
                <w:szCs w:val="22"/>
              </w:rPr>
              <w:t>;</w:t>
            </w:r>
            <w:r w:rsidRPr="00A34AE3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gramStart"/>
            <w:r w:rsidRPr="00A34AE3">
              <w:rPr>
                <w:rFonts w:ascii="Arial" w:hAnsi="Arial" w:cs="Arial"/>
                <w:sz w:val="16"/>
                <w:szCs w:val="22"/>
              </w:rPr>
              <w:t>TT.TU</w:t>
            </w:r>
            <w:proofErr w:type="gramEnd"/>
            <w:r w:rsidRPr="00A34AE3">
              <w:rPr>
                <w:rFonts w:ascii="Arial" w:hAnsi="Arial" w:cs="Arial"/>
                <w:sz w:val="16"/>
                <w:szCs w:val="22"/>
              </w:rPr>
              <w:t xml:space="preserve">, UBND, UBMTTQVN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>;</w:t>
            </w:r>
            <w:r w:rsidRPr="00A34AE3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Đoàn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ĐBQH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>;</w:t>
            </w:r>
            <w:r w:rsidRPr="00A34AE3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Đại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biểu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HĐND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>;</w:t>
            </w:r>
            <w:r w:rsidRPr="00A34AE3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Các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sở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, ban,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ngành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,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tổ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chức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CT-XH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>;</w:t>
            </w:r>
            <w:r w:rsidRPr="00A34AE3">
              <w:rPr>
                <w:rFonts w:ascii="Arial" w:hAnsi="Arial" w:cs="Arial"/>
                <w:sz w:val="16"/>
                <w:szCs w:val="22"/>
              </w:rPr>
              <w:br/>
              <w:t xml:space="preserve">- TT.HĐND, UBND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huyện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,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thành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A34AE3">
              <w:rPr>
                <w:rFonts w:ascii="Arial" w:hAnsi="Arial" w:cs="Arial"/>
                <w:sz w:val="16"/>
                <w:szCs w:val="22"/>
              </w:rPr>
              <w:t>phố</w:t>
            </w:r>
            <w:proofErr w:type="spellEnd"/>
            <w:r w:rsidRPr="00A34AE3">
              <w:rPr>
                <w:rFonts w:ascii="Arial" w:hAnsi="Arial" w:cs="Arial"/>
                <w:sz w:val="16"/>
                <w:szCs w:val="22"/>
              </w:rPr>
              <w:t>;</w:t>
            </w:r>
            <w:r w:rsidRPr="00A34AE3">
              <w:rPr>
                <w:rFonts w:ascii="Arial" w:hAnsi="Arial" w:cs="Arial"/>
                <w:sz w:val="16"/>
                <w:szCs w:val="22"/>
              </w:rPr>
              <w:br/>
            </w:r>
            <w:r w:rsidRPr="00A34AE3">
              <w:rPr>
                <w:rFonts w:ascii="Arial" w:hAnsi="Arial" w:cs="Arial"/>
                <w:sz w:val="16"/>
                <w:szCs w:val="22"/>
                <w:lang w:val="nl-NL"/>
              </w:rPr>
              <w:t xml:space="preserve">- Cổng Thông tin điện tử Tỉnh; </w:t>
            </w:r>
            <w:r w:rsidRPr="00A34AE3">
              <w:rPr>
                <w:rFonts w:ascii="Arial" w:hAnsi="Arial" w:cs="Arial"/>
                <w:sz w:val="16"/>
                <w:szCs w:val="22"/>
                <w:lang w:val="nl-NL"/>
              </w:rPr>
              <w:br/>
              <w:t>- Lưu: VT.</w:t>
            </w:r>
            <w:r w:rsidRPr="00A34AE3">
              <w:rPr>
                <w:rFonts w:ascii="Arial" w:hAnsi="Arial" w:cs="Arial"/>
                <w:sz w:val="16"/>
                <w:szCs w:val="22"/>
              </w:rPr>
              <w:t xml:space="preserve"> </w:t>
            </w:r>
          </w:p>
        </w:tc>
        <w:tc>
          <w:tcPr>
            <w:tcW w:w="4068" w:type="dxa"/>
          </w:tcPr>
          <w:p w14:paraId="1CA113CF" w14:textId="77777777" w:rsidR="00EA27B9" w:rsidRPr="00A34AE3" w:rsidRDefault="00EA27B9" w:rsidP="00A34AE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AE3">
              <w:rPr>
                <w:rFonts w:ascii="Arial" w:hAnsi="Arial" w:cs="Arial"/>
                <w:b/>
                <w:sz w:val="20"/>
              </w:rPr>
              <w:t>CHỦ TỊCH</w:t>
            </w:r>
            <w:r w:rsidRPr="00A34AE3">
              <w:rPr>
                <w:rFonts w:ascii="Arial" w:hAnsi="Arial" w:cs="Arial"/>
                <w:b/>
                <w:sz w:val="20"/>
              </w:rPr>
              <w:br/>
            </w:r>
            <w:r w:rsidRPr="00A34AE3">
              <w:rPr>
                <w:rFonts w:ascii="Arial" w:hAnsi="Arial" w:cs="Arial"/>
                <w:b/>
                <w:sz w:val="20"/>
              </w:rPr>
              <w:br/>
            </w:r>
            <w:r w:rsidRPr="00A34AE3">
              <w:rPr>
                <w:rFonts w:ascii="Arial" w:hAnsi="Arial" w:cs="Arial"/>
                <w:b/>
                <w:sz w:val="20"/>
              </w:rPr>
              <w:br/>
            </w:r>
            <w:r w:rsidRPr="00A34AE3">
              <w:rPr>
                <w:rFonts w:ascii="Arial" w:hAnsi="Arial" w:cs="Arial"/>
                <w:b/>
                <w:sz w:val="20"/>
              </w:rPr>
              <w:br/>
            </w:r>
            <w:r w:rsidRPr="00A34AE3">
              <w:rPr>
                <w:rFonts w:ascii="Arial" w:hAnsi="Arial" w:cs="Arial"/>
                <w:b/>
                <w:sz w:val="20"/>
              </w:rPr>
              <w:br/>
            </w:r>
            <w:r w:rsidRPr="00A34AE3">
              <w:rPr>
                <w:rFonts w:ascii="Arial" w:hAnsi="Arial" w:cs="Arial"/>
                <w:b/>
                <w:sz w:val="20"/>
                <w:szCs w:val="28"/>
              </w:rPr>
              <w:t>Phan</w:t>
            </w:r>
            <w:r w:rsidRPr="00A34AE3">
              <w:rPr>
                <w:rFonts w:ascii="Arial" w:hAnsi="Arial" w:cs="Arial"/>
                <w:b/>
                <w:sz w:val="20"/>
                <w:szCs w:val="28"/>
                <w:lang w:val="vi-VN"/>
              </w:rPr>
              <w:t xml:space="preserve"> Văn Thắng</w:t>
            </w:r>
          </w:p>
        </w:tc>
      </w:tr>
    </w:tbl>
    <w:p w14:paraId="0A531BF6" w14:textId="77777777" w:rsidR="001C1D5A" w:rsidRPr="00A34AE3" w:rsidRDefault="001C1D5A" w:rsidP="00A34AE3">
      <w:pPr>
        <w:spacing w:before="120"/>
        <w:rPr>
          <w:rFonts w:ascii="Arial" w:hAnsi="Arial" w:cs="Arial"/>
          <w:b/>
          <w:sz w:val="20"/>
        </w:rPr>
      </w:pPr>
    </w:p>
    <w:p w14:paraId="619B3685" w14:textId="77777777" w:rsidR="00A34AE3" w:rsidRPr="00A34AE3" w:rsidRDefault="00A34AE3" w:rsidP="00A34AE3">
      <w:pPr>
        <w:spacing w:before="120"/>
        <w:rPr>
          <w:rFonts w:ascii="Arial" w:hAnsi="Arial" w:cs="Arial"/>
          <w:b/>
          <w:sz w:val="20"/>
        </w:rPr>
      </w:pPr>
    </w:p>
    <w:sectPr w:rsidR="00A34AE3" w:rsidRPr="00A34AE3" w:rsidSect="009D3312">
      <w:footerReference w:type="even" r:id="rId6"/>
      <w:pgSz w:w="11906" w:h="16838" w:code="9"/>
      <w:pgMar w:top="567" w:right="1134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6516" w14:textId="77777777" w:rsidR="00D017B8" w:rsidRDefault="00D017B8">
      <w:r>
        <w:separator/>
      </w:r>
    </w:p>
  </w:endnote>
  <w:endnote w:type="continuationSeparator" w:id="0">
    <w:p w14:paraId="21304744" w14:textId="77777777" w:rsidR="00D017B8" w:rsidRDefault="00D0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2BD3" w14:textId="77777777" w:rsidR="001C1D5A" w:rsidRDefault="001C1D5A" w:rsidP="003208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5F0DF9" w14:textId="77777777" w:rsidR="001C1D5A" w:rsidRDefault="001C1D5A" w:rsidP="003208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CC8C" w14:textId="77777777" w:rsidR="00D017B8" w:rsidRDefault="00D017B8">
      <w:r>
        <w:separator/>
      </w:r>
    </w:p>
  </w:footnote>
  <w:footnote w:type="continuationSeparator" w:id="0">
    <w:p w14:paraId="185D2BC7" w14:textId="77777777" w:rsidR="00D017B8" w:rsidRDefault="00D01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BB"/>
    <w:rsid w:val="00000C5D"/>
    <w:rsid w:val="00002776"/>
    <w:rsid w:val="0000309C"/>
    <w:rsid w:val="000057C8"/>
    <w:rsid w:val="000060A0"/>
    <w:rsid w:val="00007716"/>
    <w:rsid w:val="00007DD0"/>
    <w:rsid w:val="00010029"/>
    <w:rsid w:val="000115F7"/>
    <w:rsid w:val="00011FAA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6BCC"/>
    <w:rsid w:val="000377B7"/>
    <w:rsid w:val="00037A6D"/>
    <w:rsid w:val="00040AA2"/>
    <w:rsid w:val="00040CDC"/>
    <w:rsid w:val="00040D6B"/>
    <w:rsid w:val="00041C78"/>
    <w:rsid w:val="00042122"/>
    <w:rsid w:val="000426EC"/>
    <w:rsid w:val="0004280F"/>
    <w:rsid w:val="000434CF"/>
    <w:rsid w:val="00043859"/>
    <w:rsid w:val="000443D4"/>
    <w:rsid w:val="000450BD"/>
    <w:rsid w:val="00045C9C"/>
    <w:rsid w:val="00045CB1"/>
    <w:rsid w:val="000461CD"/>
    <w:rsid w:val="0005016C"/>
    <w:rsid w:val="0005090F"/>
    <w:rsid w:val="0005382D"/>
    <w:rsid w:val="00053B86"/>
    <w:rsid w:val="0005554C"/>
    <w:rsid w:val="00055DC3"/>
    <w:rsid w:val="00056BF8"/>
    <w:rsid w:val="000574ED"/>
    <w:rsid w:val="000576FE"/>
    <w:rsid w:val="000603BA"/>
    <w:rsid w:val="000618EB"/>
    <w:rsid w:val="000621E4"/>
    <w:rsid w:val="00062C32"/>
    <w:rsid w:val="00063F19"/>
    <w:rsid w:val="000644E3"/>
    <w:rsid w:val="00065A02"/>
    <w:rsid w:val="00065B7E"/>
    <w:rsid w:val="000669A4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458E"/>
    <w:rsid w:val="000950F4"/>
    <w:rsid w:val="00095943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543"/>
    <w:rsid w:val="000A56D9"/>
    <w:rsid w:val="000A5AFA"/>
    <w:rsid w:val="000A5CFC"/>
    <w:rsid w:val="000A6936"/>
    <w:rsid w:val="000A6B0E"/>
    <w:rsid w:val="000A764C"/>
    <w:rsid w:val="000A7E9F"/>
    <w:rsid w:val="000B0291"/>
    <w:rsid w:val="000B08F7"/>
    <w:rsid w:val="000B0FD9"/>
    <w:rsid w:val="000B1931"/>
    <w:rsid w:val="000B201A"/>
    <w:rsid w:val="000B2071"/>
    <w:rsid w:val="000B2C8F"/>
    <w:rsid w:val="000B2F29"/>
    <w:rsid w:val="000B4FB5"/>
    <w:rsid w:val="000B6249"/>
    <w:rsid w:val="000B722A"/>
    <w:rsid w:val="000B7EF7"/>
    <w:rsid w:val="000C0BCE"/>
    <w:rsid w:val="000C1B39"/>
    <w:rsid w:val="000C3D2E"/>
    <w:rsid w:val="000C7369"/>
    <w:rsid w:val="000D01A9"/>
    <w:rsid w:val="000D11C2"/>
    <w:rsid w:val="000D1306"/>
    <w:rsid w:val="000D17A9"/>
    <w:rsid w:val="000D3637"/>
    <w:rsid w:val="000D42EB"/>
    <w:rsid w:val="000D4F2F"/>
    <w:rsid w:val="000D5B01"/>
    <w:rsid w:val="000D7AEB"/>
    <w:rsid w:val="000E232F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3C4"/>
    <w:rsid w:val="000E793A"/>
    <w:rsid w:val="000E79EA"/>
    <w:rsid w:val="000F0E4D"/>
    <w:rsid w:val="000F18B7"/>
    <w:rsid w:val="000F3222"/>
    <w:rsid w:val="000F32EB"/>
    <w:rsid w:val="000F330D"/>
    <w:rsid w:val="000F3FB8"/>
    <w:rsid w:val="000F70CE"/>
    <w:rsid w:val="000F7E16"/>
    <w:rsid w:val="00100ED3"/>
    <w:rsid w:val="001033C5"/>
    <w:rsid w:val="00103974"/>
    <w:rsid w:val="00104B40"/>
    <w:rsid w:val="0010725E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89C"/>
    <w:rsid w:val="00117D73"/>
    <w:rsid w:val="001206A0"/>
    <w:rsid w:val="0012272D"/>
    <w:rsid w:val="00123282"/>
    <w:rsid w:val="00123B6A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45BF4"/>
    <w:rsid w:val="0015075D"/>
    <w:rsid w:val="00150BE7"/>
    <w:rsid w:val="00151558"/>
    <w:rsid w:val="00151DFD"/>
    <w:rsid w:val="00152A34"/>
    <w:rsid w:val="001536F1"/>
    <w:rsid w:val="001560B8"/>
    <w:rsid w:val="00156F3C"/>
    <w:rsid w:val="001576A3"/>
    <w:rsid w:val="00157CFA"/>
    <w:rsid w:val="001607FE"/>
    <w:rsid w:val="00163239"/>
    <w:rsid w:val="001632CA"/>
    <w:rsid w:val="00163A28"/>
    <w:rsid w:val="00163AB3"/>
    <w:rsid w:val="00163E0B"/>
    <w:rsid w:val="00164080"/>
    <w:rsid w:val="00164C75"/>
    <w:rsid w:val="00165443"/>
    <w:rsid w:val="001672CF"/>
    <w:rsid w:val="001709EF"/>
    <w:rsid w:val="00170C96"/>
    <w:rsid w:val="001711EE"/>
    <w:rsid w:val="00171A5B"/>
    <w:rsid w:val="00172543"/>
    <w:rsid w:val="0017353C"/>
    <w:rsid w:val="00173E07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F2F"/>
    <w:rsid w:val="001854A1"/>
    <w:rsid w:val="00186945"/>
    <w:rsid w:val="001869F4"/>
    <w:rsid w:val="00187130"/>
    <w:rsid w:val="001875E9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A7978"/>
    <w:rsid w:val="001A79B7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5FD"/>
    <w:rsid w:val="001B5A2D"/>
    <w:rsid w:val="001B70E6"/>
    <w:rsid w:val="001B7C83"/>
    <w:rsid w:val="001C1107"/>
    <w:rsid w:val="001C152F"/>
    <w:rsid w:val="001C1917"/>
    <w:rsid w:val="001C1CCA"/>
    <w:rsid w:val="001C1D5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A39"/>
    <w:rsid w:val="001D3D0F"/>
    <w:rsid w:val="001D4540"/>
    <w:rsid w:val="001D48AD"/>
    <w:rsid w:val="001D504D"/>
    <w:rsid w:val="001D5352"/>
    <w:rsid w:val="001D55CF"/>
    <w:rsid w:val="001D5D5F"/>
    <w:rsid w:val="001D70F7"/>
    <w:rsid w:val="001D76A1"/>
    <w:rsid w:val="001E15FE"/>
    <w:rsid w:val="001E1F10"/>
    <w:rsid w:val="001E224F"/>
    <w:rsid w:val="001E2401"/>
    <w:rsid w:val="001E2757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760"/>
    <w:rsid w:val="001F3C0D"/>
    <w:rsid w:val="001F3D97"/>
    <w:rsid w:val="001F42CE"/>
    <w:rsid w:val="001F4C24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0575B"/>
    <w:rsid w:val="0021078B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6800"/>
    <w:rsid w:val="002576F1"/>
    <w:rsid w:val="00257B84"/>
    <w:rsid w:val="00260931"/>
    <w:rsid w:val="0026105C"/>
    <w:rsid w:val="00261496"/>
    <w:rsid w:val="00261636"/>
    <w:rsid w:val="00261D5D"/>
    <w:rsid w:val="002621A8"/>
    <w:rsid w:val="00262A09"/>
    <w:rsid w:val="00263513"/>
    <w:rsid w:val="0026439D"/>
    <w:rsid w:val="002643A7"/>
    <w:rsid w:val="0026564C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5B3"/>
    <w:rsid w:val="00281F45"/>
    <w:rsid w:val="002821AA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6D29"/>
    <w:rsid w:val="00297D0C"/>
    <w:rsid w:val="002A1544"/>
    <w:rsid w:val="002A187B"/>
    <w:rsid w:val="002A19BD"/>
    <w:rsid w:val="002A22B4"/>
    <w:rsid w:val="002A3609"/>
    <w:rsid w:val="002A3FD3"/>
    <w:rsid w:val="002A4280"/>
    <w:rsid w:val="002A461C"/>
    <w:rsid w:val="002A5487"/>
    <w:rsid w:val="002A5B34"/>
    <w:rsid w:val="002B207E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425"/>
    <w:rsid w:val="002C1201"/>
    <w:rsid w:val="002C1C06"/>
    <w:rsid w:val="002C2644"/>
    <w:rsid w:val="002C361F"/>
    <w:rsid w:val="002C3FB3"/>
    <w:rsid w:val="002C6241"/>
    <w:rsid w:val="002C6A9F"/>
    <w:rsid w:val="002C6AA5"/>
    <w:rsid w:val="002D02E9"/>
    <w:rsid w:val="002D12F2"/>
    <w:rsid w:val="002D1DAB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5402"/>
    <w:rsid w:val="002E63DF"/>
    <w:rsid w:val="002E7033"/>
    <w:rsid w:val="002E7C58"/>
    <w:rsid w:val="002F08E8"/>
    <w:rsid w:val="002F1375"/>
    <w:rsid w:val="002F41AF"/>
    <w:rsid w:val="002F63E5"/>
    <w:rsid w:val="002F7AAB"/>
    <w:rsid w:val="003002E9"/>
    <w:rsid w:val="0030030B"/>
    <w:rsid w:val="003008D8"/>
    <w:rsid w:val="00300CC2"/>
    <w:rsid w:val="00301042"/>
    <w:rsid w:val="003013B4"/>
    <w:rsid w:val="003023B4"/>
    <w:rsid w:val="00302562"/>
    <w:rsid w:val="00304157"/>
    <w:rsid w:val="00304471"/>
    <w:rsid w:val="00305317"/>
    <w:rsid w:val="003055D9"/>
    <w:rsid w:val="00306F1B"/>
    <w:rsid w:val="00307451"/>
    <w:rsid w:val="00310B2C"/>
    <w:rsid w:val="00310C9A"/>
    <w:rsid w:val="00312176"/>
    <w:rsid w:val="0031279C"/>
    <w:rsid w:val="003129FA"/>
    <w:rsid w:val="00312A70"/>
    <w:rsid w:val="00313BC2"/>
    <w:rsid w:val="00313E84"/>
    <w:rsid w:val="00314D74"/>
    <w:rsid w:val="0031552E"/>
    <w:rsid w:val="003157BD"/>
    <w:rsid w:val="00316572"/>
    <w:rsid w:val="00316BA2"/>
    <w:rsid w:val="003177A0"/>
    <w:rsid w:val="0032084C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B17"/>
    <w:rsid w:val="00335DD8"/>
    <w:rsid w:val="0034169F"/>
    <w:rsid w:val="003417B5"/>
    <w:rsid w:val="00341DB3"/>
    <w:rsid w:val="003427E3"/>
    <w:rsid w:val="00344600"/>
    <w:rsid w:val="0034661F"/>
    <w:rsid w:val="0035070F"/>
    <w:rsid w:val="00350CB7"/>
    <w:rsid w:val="003513E5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7008A"/>
    <w:rsid w:val="0037063B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697"/>
    <w:rsid w:val="00382725"/>
    <w:rsid w:val="00382961"/>
    <w:rsid w:val="00383332"/>
    <w:rsid w:val="00384CE1"/>
    <w:rsid w:val="00384DE3"/>
    <w:rsid w:val="003852C3"/>
    <w:rsid w:val="003852DB"/>
    <w:rsid w:val="003860B4"/>
    <w:rsid w:val="003879F7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273B"/>
    <w:rsid w:val="003A3045"/>
    <w:rsid w:val="003A46FB"/>
    <w:rsid w:val="003A4968"/>
    <w:rsid w:val="003A525A"/>
    <w:rsid w:val="003A5379"/>
    <w:rsid w:val="003A5592"/>
    <w:rsid w:val="003B08CD"/>
    <w:rsid w:val="003B0B65"/>
    <w:rsid w:val="003B18CB"/>
    <w:rsid w:val="003B233F"/>
    <w:rsid w:val="003B2634"/>
    <w:rsid w:val="003B3557"/>
    <w:rsid w:val="003B4774"/>
    <w:rsid w:val="003B50F7"/>
    <w:rsid w:val="003B586D"/>
    <w:rsid w:val="003C0B4B"/>
    <w:rsid w:val="003C0D52"/>
    <w:rsid w:val="003C11A3"/>
    <w:rsid w:val="003C11E7"/>
    <w:rsid w:val="003C1AF6"/>
    <w:rsid w:val="003C25F9"/>
    <w:rsid w:val="003C3F14"/>
    <w:rsid w:val="003C423A"/>
    <w:rsid w:val="003C47BB"/>
    <w:rsid w:val="003C5A34"/>
    <w:rsid w:val="003C5BE3"/>
    <w:rsid w:val="003C634D"/>
    <w:rsid w:val="003C6B99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CC7"/>
    <w:rsid w:val="003F5D84"/>
    <w:rsid w:val="003F7710"/>
    <w:rsid w:val="003F7EA5"/>
    <w:rsid w:val="003F7F9B"/>
    <w:rsid w:val="00400BB6"/>
    <w:rsid w:val="004029E4"/>
    <w:rsid w:val="00402F40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75B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73EB"/>
    <w:rsid w:val="00427D30"/>
    <w:rsid w:val="00430425"/>
    <w:rsid w:val="004304B5"/>
    <w:rsid w:val="00431029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466E"/>
    <w:rsid w:val="004452DF"/>
    <w:rsid w:val="0044578C"/>
    <w:rsid w:val="00445C5C"/>
    <w:rsid w:val="00445F11"/>
    <w:rsid w:val="00446BE7"/>
    <w:rsid w:val="004478C0"/>
    <w:rsid w:val="00447A27"/>
    <w:rsid w:val="00447CB3"/>
    <w:rsid w:val="00447EE4"/>
    <w:rsid w:val="00450210"/>
    <w:rsid w:val="00450F8D"/>
    <w:rsid w:val="00451C72"/>
    <w:rsid w:val="004527C2"/>
    <w:rsid w:val="0045296C"/>
    <w:rsid w:val="0045316D"/>
    <w:rsid w:val="004537AD"/>
    <w:rsid w:val="00453E23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83A"/>
    <w:rsid w:val="00462933"/>
    <w:rsid w:val="00464119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A35"/>
    <w:rsid w:val="00490D52"/>
    <w:rsid w:val="00492D91"/>
    <w:rsid w:val="0049564C"/>
    <w:rsid w:val="00495F80"/>
    <w:rsid w:val="00496A48"/>
    <w:rsid w:val="00496A85"/>
    <w:rsid w:val="0049722D"/>
    <w:rsid w:val="004A00DC"/>
    <w:rsid w:val="004A0104"/>
    <w:rsid w:val="004A18F1"/>
    <w:rsid w:val="004A3450"/>
    <w:rsid w:val="004A4072"/>
    <w:rsid w:val="004A4606"/>
    <w:rsid w:val="004A5D16"/>
    <w:rsid w:val="004A6628"/>
    <w:rsid w:val="004A662D"/>
    <w:rsid w:val="004A667C"/>
    <w:rsid w:val="004A71A9"/>
    <w:rsid w:val="004A7425"/>
    <w:rsid w:val="004A75F7"/>
    <w:rsid w:val="004B0E4F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359F"/>
    <w:rsid w:val="004D36DD"/>
    <w:rsid w:val="004D3C4E"/>
    <w:rsid w:val="004D4234"/>
    <w:rsid w:val="004D4507"/>
    <w:rsid w:val="004D4B1E"/>
    <w:rsid w:val="004D60C1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1A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6B3E"/>
    <w:rsid w:val="004F745B"/>
    <w:rsid w:val="0050055A"/>
    <w:rsid w:val="00500BE4"/>
    <w:rsid w:val="00500E25"/>
    <w:rsid w:val="005022CB"/>
    <w:rsid w:val="0050291E"/>
    <w:rsid w:val="00502984"/>
    <w:rsid w:val="00503D7C"/>
    <w:rsid w:val="005045C4"/>
    <w:rsid w:val="00504A5D"/>
    <w:rsid w:val="0050524F"/>
    <w:rsid w:val="00505873"/>
    <w:rsid w:val="0051055A"/>
    <w:rsid w:val="00510E7E"/>
    <w:rsid w:val="00511A78"/>
    <w:rsid w:val="00511C13"/>
    <w:rsid w:val="00511DBC"/>
    <w:rsid w:val="00512771"/>
    <w:rsid w:val="00513A0A"/>
    <w:rsid w:val="005150BA"/>
    <w:rsid w:val="00516EA6"/>
    <w:rsid w:val="005173F0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280B"/>
    <w:rsid w:val="005329B5"/>
    <w:rsid w:val="00533237"/>
    <w:rsid w:val="00533C33"/>
    <w:rsid w:val="005366BD"/>
    <w:rsid w:val="00537827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2D46"/>
    <w:rsid w:val="00563FCA"/>
    <w:rsid w:val="0056425F"/>
    <w:rsid w:val="00565604"/>
    <w:rsid w:val="005660B1"/>
    <w:rsid w:val="0056615B"/>
    <w:rsid w:val="00566CBD"/>
    <w:rsid w:val="00566E05"/>
    <w:rsid w:val="0056740A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2DB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B03F2"/>
    <w:rsid w:val="005B046A"/>
    <w:rsid w:val="005B07FA"/>
    <w:rsid w:val="005B12F1"/>
    <w:rsid w:val="005B3810"/>
    <w:rsid w:val="005B3D7F"/>
    <w:rsid w:val="005B4A60"/>
    <w:rsid w:val="005B4F22"/>
    <w:rsid w:val="005B5F79"/>
    <w:rsid w:val="005B7033"/>
    <w:rsid w:val="005C169A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D93"/>
    <w:rsid w:val="005E1667"/>
    <w:rsid w:val="005E2A78"/>
    <w:rsid w:val="005E3567"/>
    <w:rsid w:val="005E41FC"/>
    <w:rsid w:val="005E5C1F"/>
    <w:rsid w:val="005E638A"/>
    <w:rsid w:val="005E6BD5"/>
    <w:rsid w:val="005E76F9"/>
    <w:rsid w:val="005E7DC7"/>
    <w:rsid w:val="005F0A3D"/>
    <w:rsid w:val="005F0E22"/>
    <w:rsid w:val="005F1018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6D4E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2945"/>
    <w:rsid w:val="0063333D"/>
    <w:rsid w:val="006341BF"/>
    <w:rsid w:val="00635C6D"/>
    <w:rsid w:val="00635D5F"/>
    <w:rsid w:val="00636101"/>
    <w:rsid w:val="00636352"/>
    <w:rsid w:val="00640095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17AB"/>
    <w:rsid w:val="0065259D"/>
    <w:rsid w:val="0065343F"/>
    <w:rsid w:val="00653A9C"/>
    <w:rsid w:val="00653D5A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717B8"/>
    <w:rsid w:val="00671E50"/>
    <w:rsid w:val="0067200B"/>
    <w:rsid w:val="00672C1A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184"/>
    <w:rsid w:val="006822F2"/>
    <w:rsid w:val="00682393"/>
    <w:rsid w:val="00682893"/>
    <w:rsid w:val="00684C6C"/>
    <w:rsid w:val="00685DE3"/>
    <w:rsid w:val="00686630"/>
    <w:rsid w:val="00686F4C"/>
    <w:rsid w:val="006870D1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A07EA"/>
    <w:rsid w:val="006A0806"/>
    <w:rsid w:val="006A2DBB"/>
    <w:rsid w:val="006A389B"/>
    <w:rsid w:val="006A38CF"/>
    <w:rsid w:val="006A555E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7768"/>
    <w:rsid w:val="006E0899"/>
    <w:rsid w:val="006E0B5B"/>
    <w:rsid w:val="006E1835"/>
    <w:rsid w:val="006E2190"/>
    <w:rsid w:val="006E30DE"/>
    <w:rsid w:val="006E4076"/>
    <w:rsid w:val="006E4F2C"/>
    <w:rsid w:val="006E7E0E"/>
    <w:rsid w:val="006F0D6A"/>
    <w:rsid w:val="006F1BDA"/>
    <w:rsid w:val="006F32CA"/>
    <w:rsid w:val="006F354A"/>
    <w:rsid w:val="006F3B26"/>
    <w:rsid w:val="006F3EF0"/>
    <w:rsid w:val="006F4D03"/>
    <w:rsid w:val="006F69D4"/>
    <w:rsid w:val="006F6B50"/>
    <w:rsid w:val="006F6CC3"/>
    <w:rsid w:val="00700244"/>
    <w:rsid w:val="007004C7"/>
    <w:rsid w:val="007009CA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D3D"/>
    <w:rsid w:val="00711C0A"/>
    <w:rsid w:val="0071256C"/>
    <w:rsid w:val="00712845"/>
    <w:rsid w:val="007146F5"/>
    <w:rsid w:val="00714ABE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0AB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1132"/>
    <w:rsid w:val="00792551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148"/>
    <w:rsid w:val="007A2D48"/>
    <w:rsid w:val="007A319B"/>
    <w:rsid w:val="007A38F8"/>
    <w:rsid w:val="007A45B9"/>
    <w:rsid w:val="007A4B78"/>
    <w:rsid w:val="007A4FCD"/>
    <w:rsid w:val="007A7F52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6BA4"/>
    <w:rsid w:val="007D7544"/>
    <w:rsid w:val="007D7C35"/>
    <w:rsid w:val="007E06D7"/>
    <w:rsid w:val="007E1230"/>
    <w:rsid w:val="007E1C54"/>
    <w:rsid w:val="007E1D82"/>
    <w:rsid w:val="007E2653"/>
    <w:rsid w:val="007E2D66"/>
    <w:rsid w:val="007E3F3A"/>
    <w:rsid w:val="007E4B35"/>
    <w:rsid w:val="007E5461"/>
    <w:rsid w:val="007E553E"/>
    <w:rsid w:val="007E6289"/>
    <w:rsid w:val="007E6752"/>
    <w:rsid w:val="007E6ED2"/>
    <w:rsid w:val="007E73CF"/>
    <w:rsid w:val="007F0707"/>
    <w:rsid w:val="007F1135"/>
    <w:rsid w:val="007F1390"/>
    <w:rsid w:val="007F168C"/>
    <w:rsid w:val="007F1896"/>
    <w:rsid w:val="007F2203"/>
    <w:rsid w:val="007F2681"/>
    <w:rsid w:val="007F2F8D"/>
    <w:rsid w:val="007F3276"/>
    <w:rsid w:val="007F3277"/>
    <w:rsid w:val="007F4137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729"/>
    <w:rsid w:val="008373BA"/>
    <w:rsid w:val="00837A99"/>
    <w:rsid w:val="00840547"/>
    <w:rsid w:val="00840A3A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2FFA"/>
    <w:rsid w:val="008730EC"/>
    <w:rsid w:val="00873ABC"/>
    <w:rsid w:val="00875F0A"/>
    <w:rsid w:val="00881741"/>
    <w:rsid w:val="008819E2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7A54"/>
    <w:rsid w:val="00887F16"/>
    <w:rsid w:val="008906B2"/>
    <w:rsid w:val="008915C4"/>
    <w:rsid w:val="00892F65"/>
    <w:rsid w:val="0089392F"/>
    <w:rsid w:val="00894031"/>
    <w:rsid w:val="00894149"/>
    <w:rsid w:val="008949BD"/>
    <w:rsid w:val="00894F7B"/>
    <w:rsid w:val="00895912"/>
    <w:rsid w:val="00896393"/>
    <w:rsid w:val="008972A6"/>
    <w:rsid w:val="00897C19"/>
    <w:rsid w:val="008A199A"/>
    <w:rsid w:val="008A1B20"/>
    <w:rsid w:val="008A1E6F"/>
    <w:rsid w:val="008A2076"/>
    <w:rsid w:val="008A263B"/>
    <w:rsid w:val="008A32B5"/>
    <w:rsid w:val="008A3AF8"/>
    <w:rsid w:val="008A4FD7"/>
    <w:rsid w:val="008A5CC9"/>
    <w:rsid w:val="008A672C"/>
    <w:rsid w:val="008A78A3"/>
    <w:rsid w:val="008B01EB"/>
    <w:rsid w:val="008B0838"/>
    <w:rsid w:val="008B120C"/>
    <w:rsid w:val="008B134E"/>
    <w:rsid w:val="008B1D81"/>
    <w:rsid w:val="008B22AC"/>
    <w:rsid w:val="008B26FF"/>
    <w:rsid w:val="008B3B64"/>
    <w:rsid w:val="008B44E9"/>
    <w:rsid w:val="008B4CDD"/>
    <w:rsid w:val="008B53AF"/>
    <w:rsid w:val="008B5B8C"/>
    <w:rsid w:val="008B666A"/>
    <w:rsid w:val="008B6870"/>
    <w:rsid w:val="008B6EED"/>
    <w:rsid w:val="008C07A7"/>
    <w:rsid w:val="008C0F9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1035"/>
    <w:rsid w:val="008D1AE7"/>
    <w:rsid w:val="008D49D2"/>
    <w:rsid w:val="008D4B5C"/>
    <w:rsid w:val="008D5AC7"/>
    <w:rsid w:val="008D5C58"/>
    <w:rsid w:val="008D5E4E"/>
    <w:rsid w:val="008D62A0"/>
    <w:rsid w:val="008D7E90"/>
    <w:rsid w:val="008E0FA8"/>
    <w:rsid w:val="008E1F06"/>
    <w:rsid w:val="008E320C"/>
    <w:rsid w:val="008E41D2"/>
    <w:rsid w:val="008E53F3"/>
    <w:rsid w:val="008E6BEB"/>
    <w:rsid w:val="008E770B"/>
    <w:rsid w:val="008E7864"/>
    <w:rsid w:val="008F0E8E"/>
    <w:rsid w:val="008F23AB"/>
    <w:rsid w:val="008F2725"/>
    <w:rsid w:val="008F289E"/>
    <w:rsid w:val="008F2AD1"/>
    <w:rsid w:val="008F3EE3"/>
    <w:rsid w:val="008F5067"/>
    <w:rsid w:val="008F5416"/>
    <w:rsid w:val="009006A5"/>
    <w:rsid w:val="00900FB4"/>
    <w:rsid w:val="009012F0"/>
    <w:rsid w:val="009022E9"/>
    <w:rsid w:val="00902FC5"/>
    <w:rsid w:val="00903989"/>
    <w:rsid w:val="00903A20"/>
    <w:rsid w:val="00903B93"/>
    <w:rsid w:val="00904861"/>
    <w:rsid w:val="00904EAA"/>
    <w:rsid w:val="00905772"/>
    <w:rsid w:val="00905EAD"/>
    <w:rsid w:val="00906082"/>
    <w:rsid w:val="0090761D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278"/>
    <w:rsid w:val="00921B86"/>
    <w:rsid w:val="00924AFA"/>
    <w:rsid w:val="0092640E"/>
    <w:rsid w:val="00926756"/>
    <w:rsid w:val="009270BF"/>
    <w:rsid w:val="00927151"/>
    <w:rsid w:val="00930DCE"/>
    <w:rsid w:val="009311FB"/>
    <w:rsid w:val="00931A05"/>
    <w:rsid w:val="00931FDD"/>
    <w:rsid w:val="00932D59"/>
    <w:rsid w:val="00932FDB"/>
    <w:rsid w:val="00933ADF"/>
    <w:rsid w:val="00936E04"/>
    <w:rsid w:val="00936F48"/>
    <w:rsid w:val="00936F82"/>
    <w:rsid w:val="00937C3A"/>
    <w:rsid w:val="00937EAF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7917"/>
    <w:rsid w:val="009479F7"/>
    <w:rsid w:val="009503B7"/>
    <w:rsid w:val="0095137E"/>
    <w:rsid w:val="009513D9"/>
    <w:rsid w:val="009529BE"/>
    <w:rsid w:val="00953490"/>
    <w:rsid w:val="00953944"/>
    <w:rsid w:val="00954757"/>
    <w:rsid w:val="009556AC"/>
    <w:rsid w:val="00955B7C"/>
    <w:rsid w:val="00955D31"/>
    <w:rsid w:val="009568B4"/>
    <w:rsid w:val="00956ED0"/>
    <w:rsid w:val="00957AAE"/>
    <w:rsid w:val="00957E53"/>
    <w:rsid w:val="009611D1"/>
    <w:rsid w:val="00961C1C"/>
    <w:rsid w:val="009637D9"/>
    <w:rsid w:val="00963D82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4FCA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3693"/>
    <w:rsid w:val="009B4FFF"/>
    <w:rsid w:val="009B51ED"/>
    <w:rsid w:val="009B5C54"/>
    <w:rsid w:val="009B6AE5"/>
    <w:rsid w:val="009B7843"/>
    <w:rsid w:val="009C05A4"/>
    <w:rsid w:val="009C0790"/>
    <w:rsid w:val="009C0DE2"/>
    <w:rsid w:val="009C1ECB"/>
    <w:rsid w:val="009C1FB8"/>
    <w:rsid w:val="009C2907"/>
    <w:rsid w:val="009C2FD6"/>
    <w:rsid w:val="009C308A"/>
    <w:rsid w:val="009C36CC"/>
    <w:rsid w:val="009C476F"/>
    <w:rsid w:val="009C5F52"/>
    <w:rsid w:val="009C6261"/>
    <w:rsid w:val="009C7493"/>
    <w:rsid w:val="009C779F"/>
    <w:rsid w:val="009D0EC4"/>
    <w:rsid w:val="009D2CE1"/>
    <w:rsid w:val="009D3312"/>
    <w:rsid w:val="009D3CC8"/>
    <w:rsid w:val="009D4BED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310"/>
    <w:rsid w:val="009E672A"/>
    <w:rsid w:val="009E688E"/>
    <w:rsid w:val="009E7998"/>
    <w:rsid w:val="009E7FBB"/>
    <w:rsid w:val="009F09BE"/>
    <w:rsid w:val="009F10C6"/>
    <w:rsid w:val="009F17A8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731"/>
    <w:rsid w:val="00A067C2"/>
    <w:rsid w:val="00A07C98"/>
    <w:rsid w:val="00A10312"/>
    <w:rsid w:val="00A11A1B"/>
    <w:rsid w:val="00A11C0A"/>
    <w:rsid w:val="00A11D95"/>
    <w:rsid w:val="00A12768"/>
    <w:rsid w:val="00A12FB2"/>
    <w:rsid w:val="00A13915"/>
    <w:rsid w:val="00A14949"/>
    <w:rsid w:val="00A14A20"/>
    <w:rsid w:val="00A1574D"/>
    <w:rsid w:val="00A15BFB"/>
    <w:rsid w:val="00A15E86"/>
    <w:rsid w:val="00A16135"/>
    <w:rsid w:val="00A17215"/>
    <w:rsid w:val="00A17F06"/>
    <w:rsid w:val="00A22BB5"/>
    <w:rsid w:val="00A23621"/>
    <w:rsid w:val="00A23EDE"/>
    <w:rsid w:val="00A24B63"/>
    <w:rsid w:val="00A25459"/>
    <w:rsid w:val="00A25A87"/>
    <w:rsid w:val="00A26FEC"/>
    <w:rsid w:val="00A27294"/>
    <w:rsid w:val="00A27EA2"/>
    <w:rsid w:val="00A312B5"/>
    <w:rsid w:val="00A3196E"/>
    <w:rsid w:val="00A31B91"/>
    <w:rsid w:val="00A33FF6"/>
    <w:rsid w:val="00A34AE3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0AF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3E45"/>
    <w:rsid w:val="00A84C83"/>
    <w:rsid w:val="00A87506"/>
    <w:rsid w:val="00A87AB6"/>
    <w:rsid w:val="00A87F32"/>
    <w:rsid w:val="00A9093D"/>
    <w:rsid w:val="00A92579"/>
    <w:rsid w:val="00A94455"/>
    <w:rsid w:val="00A9461C"/>
    <w:rsid w:val="00A95B11"/>
    <w:rsid w:val="00A95EEA"/>
    <w:rsid w:val="00A968C3"/>
    <w:rsid w:val="00A971A8"/>
    <w:rsid w:val="00A978A2"/>
    <w:rsid w:val="00AA013A"/>
    <w:rsid w:val="00AA24B4"/>
    <w:rsid w:val="00AA25C7"/>
    <w:rsid w:val="00AA33E3"/>
    <w:rsid w:val="00AA3432"/>
    <w:rsid w:val="00AA521E"/>
    <w:rsid w:val="00AA5C97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0CB"/>
    <w:rsid w:val="00AC343C"/>
    <w:rsid w:val="00AC3A02"/>
    <w:rsid w:val="00AC3BC4"/>
    <w:rsid w:val="00AC49AE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64DD"/>
    <w:rsid w:val="00B172F1"/>
    <w:rsid w:val="00B17E4D"/>
    <w:rsid w:val="00B20405"/>
    <w:rsid w:val="00B2163E"/>
    <w:rsid w:val="00B2182D"/>
    <w:rsid w:val="00B22DDC"/>
    <w:rsid w:val="00B234F4"/>
    <w:rsid w:val="00B2365D"/>
    <w:rsid w:val="00B24E5D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402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87EA2"/>
    <w:rsid w:val="00B9130A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6C0"/>
    <w:rsid w:val="00BA5D48"/>
    <w:rsid w:val="00BA5FDA"/>
    <w:rsid w:val="00BA6C2B"/>
    <w:rsid w:val="00BA6CBC"/>
    <w:rsid w:val="00BA6E13"/>
    <w:rsid w:val="00BA7C97"/>
    <w:rsid w:val="00BB0337"/>
    <w:rsid w:val="00BB074B"/>
    <w:rsid w:val="00BB1699"/>
    <w:rsid w:val="00BB2703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482C"/>
    <w:rsid w:val="00BE57CD"/>
    <w:rsid w:val="00BE5FC7"/>
    <w:rsid w:val="00BE78E1"/>
    <w:rsid w:val="00BE7E8F"/>
    <w:rsid w:val="00BF0B9C"/>
    <w:rsid w:val="00BF1712"/>
    <w:rsid w:val="00BF177C"/>
    <w:rsid w:val="00BF2220"/>
    <w:rsid w:val="00BF36F9"/>
    <w:rsid w:val="00BF4EAB"/>
    <w:rsid w:val="00C005C6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4160"/>
    <w:rsid w:val="00C16867"/>
    <w:rsid w:val="00C16966"/>
    <w:rsid w:val="00C176CA"/>
    <w:rsid w:val="00C17CBB"/>
    <w:rsid w:val="00C21E46"/>
    <w:rsid w:val="00C2297A"/>
    <w:rsid w:val="00C22D01"/>
    <w:rsid w:val="00C249BF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ED"/>
    <w:rsid w:val="00C54770"/>
    <w:rsid w:val="00C54AA9"/>
    <w:rsid w:val="00C54B3C"/>
    <w:rsid w:val="00C55A5D"/>
    <w:rsid w:val="00C5602E"/>
    <w:rsid w:val="00C610B1"/>
    <w:rsid w:val="00C613C2"/>
    <w:rsid w:val="00C6205F"/>
    <w:rsid w:val="00C6206C"/>
    <w:rsid w:val="00C62570"/>
    <w:rsid w:val="00C62BC6"/>
    <w:rsid w:val="00C63208"/>
    <w:rsid w:val="00C64DEB"/>
    <w:rsid w:val="00C67FA7"/>
    <w:rsid w:val="00C70F98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38B"/>
    <w:rsid w:val="00C777AB"/>
    <w:rsid w:val="00C80875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2E98"/>
    <w:rsid w:val="00C93245"/>
    <w:rsid w:val="00C93330"/>
    <w:rsid w:val="00C93FF1"/>
    <w:rsid w:val="00C9409F"/>
    <w:rsid w:val="00C95A01"/>
    <w:rsid w:val="00C95A4E"/>
    <w:rsid w:val="00C97735"/>
    <w:rsid w:val="00C979A7"/>
    <w:rsid w:val="00CA073B"/>
    <w:rsid w:val="00CA0B6C"/>
    <w:rsid w:val="00CA0DD1"/>
    <w:rsid w:val="00CA168D"/>
    <w:rsid w:val="00CA2D3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4968"/>
    <w:rsid w:val="00CB569D"/>
    <w:rsid w:val="00CB57B7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685"/>
    <w:rsid w:val="00CD6075"/>
    <w:rsid w:val="00CD787F"/>
    <w:rsid w:val="00CE0AF5"/>
    <w:rsid w:val="00CE178A"/>
    <w:rsid w:val="00CE301F"/>
    <w:rsid w:val="00CE336D"/>
    <w:rsid w:val="00CE5EC0"/>
    <w:rsid w:val="00CE6E19"/>
    <w:rsid w:val="00CF0000"/>
    <w:rsid w:val="00CF11F0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7B8"/>
    <w:rsid w:val="00D01D63"/>
    <w:rsid w:val="00D0268C"/>
    <w:rsid w:val="00D03933"/>
    <w:rsid w:val="00D050A0"/>
    <w:rsid w:val="00D070DA"/>
    <w:rsid w:val="00D10D19"/>
    <w:rsid w:val="00D129A4"/>
    <w:rsid w:val="00D1300E"/>
    <w:rsid w:val="00D147FD"/>
    <w:rsid w:val="00D14DC1"/>
    <w:rsid w:val="00D15D0B"/>
    <w:rsid w:val="00D16D6D"/>
    <w:rsid w:val="00D171D0"/>
    <w:rsid w:val="00D177B2"/>
    <w:rsid w:val="00D202D1"/>
    <w:rsid w:val="00D205E3"/>
    <w:rsid w:val="00D20F58"/>
    <w:rsid w:val="00D21136"/>
    <w:rsid w:val="00D22B84"/>
    <w:rsid w:val="00D233CF"/>
    <w:rsid w:val="00D234C5"/>
    <w:rsid w:val="00D23A90"/>
    <w:rsid w:val="00D23CAB"/>
    <w:rsid w:val="00D24BCE"/>
    <w:rsid w:val="00D2552D"/>
    <w:rsid w:val="00D27E12"/>
    <w:rsid w:val="00D30082"/>
    <w:rsid w:val="00D30FB7"/>
    <w:rsid w:val="00D31093"/>
    <w:rsid w:val="00D31EBE"/>
    <w:rsid w:val="00D32830"/>
    <w:rsid w:val="00D338AC"/>
    <w:rsid w:val="00D33BD6"/>
    <w:rsid w:val="00D35233"/>
    <w:rsid w:val="00D36CAE"/>
    <w:rsid w:val="00D37043"/>
    <w:rsid w:val="00D377AE"/>
    <w:rsid w:val="00D37956"/>
    <w:rsid w:val="00D37EF9"/>
    <w:rsid w:val="00D40707"/>
    <w:rsid w:val="00D40CC0"/>
    <w:rsid w:val="00D4111F"/>
    <w:rsid w:val="00D4113E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7B8"/>
    <w:rsid w:val="00D524A6"/>
    <w:rsid w:val="00D52A1F"/>
    <w:rsid w:val="00D539BC"/>
    <w:rsid w:val="00D55766"/>
    <w:rsid w:val="00D57CDD"/>
    <w:rsid w:val="00D57E50"/>
    <w:rsid w:val="00D57FFA"/>
    <w:rsid w:val="00D60157"/>
    <w:rsid w:val="00D631C5"/>
    <w:rsid w:val="00D64566"/>
    <w:rsid w:val="00D64960"/>
    <w:rsid w:val="00D65290"/>
    <w:rsid w:val="00D6621D"/>
    <w:rsid w:val="00D66B17"/>
    <w:rsid w:val="00D6774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295"/>
    <w:rsid w:val="00D85C3B"/>
    <w:rsid w:val="00D8628F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0DA9"/>
    <w:rsid w:val="00DA1D17"/>
    <w:rsid w:val="00DA223B"/>
    <w:rsid w:val="00DA2676"/>
    <w:rsid w:val="00DA3187"/>
    <w:rsid w:val="00DA4291"/>
    <w:rsid w:val="00DA60A6"/>
    <w:rsid w:val="00DB0BB7"/>
    <w:rsid w:val="00DB3D65"/>
    <w:rsid w:val="00DB4600"/>
    <w:rsid w:val="00DB5FCB"/>
    <w:rsid w:val="00DB67B7"/>
    <w:rsid w:val="00DC0811"/>
    <w:rsid w:val="00DC10E8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A8"/>
    <w:rsid w:val="00DE074D"/>
    <w:rsid w:val="00DE0C5C"/>
    <w:rsid w:val="00DE1BD8"/>
    <w:rsid w:val="00DE1BFD"/>
    <w:rsid w:val="00DE2311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30F5"/>
    <w:rsid w:val="00E04452"/>
    <w:rsid w:val="00E0555A"/>
    <w:rsid w:val="00E056B7"/>
    <w:rsid w:val="00E05F9C"/>
    <w:rsid w:val="00E06BDF"/>
    <w:rsid w:val="00E109AA"/>
    <w:rsid w:val="00E1177F"/>
    <w:rsid w:val="00E1292E"/>
    <w:rsid w:val="00E13246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52E0"/>
    <w:rsid w:val="00E35F93"/>
    <w:rsid w:val="00E3649F"/>
    <w:rsid w:val="00E3678B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5E6"/>
    <w:rsid w:val="00E54AE2"/>
    <w:rsid w:val="00E55478"/>
    <w:rsid w:val="00E55908"/>
    <w:rsid w:val="00E5594E"/>
    <w:rsid w:val="00E55A62"/>
    <w:rsid w:val="00E565D9"/>
    <w:rsid w:val="00E5676D"/>
    <w:rsid w:val="00E56D00"/>
    <w:rsid w:val="00E575EC"/>
    <w:rsid w:val="00E57EBD"/>
    <w:rsid w:val="00E57EFE"/>
    <w:rsid w:val="00E60FF3"/>
    <w:rsid w:val="00E61887"/>
    <w:rsid w:val="00E619A8"/>
    <w:rsid w:val="00E62ADC"/>
    <w:rsid w:val="00E63007"/>
    <w:rsid w:val="00E63042"/>
    <w:rsid w:val="00E6463D"/>
    <w:rsid w:val="00E64C91"/>
    <w:rsid w:val="00E655D1"/>
    <w:rsid w:val="00E67147"/>
    <w:rsid w:val="00E671E9"/>
    <w:rsid w:val="00E677C4"/>
    <w:rsid w:val="00E67B5A"/>
    <w:rsid w:val="00E67D4B"/>
    <w:rsid w:val="00E67F1B"/>
    <w:rsid w:val="00E71523"/>
    <w:rsid w:val="00E71956"/>
    <w:rsid w:val="00E7200A"/>
    <w:rsid w:val="00E726A5"/>
    <w:rsid w:val="00E728F4"/>
    <w:rsid w:val="00E72BED"/>
    <w:rsid w:val="00E7381E"/>
    <w:rsid w:val="00E73E57"/>
    <w:rsid w:val="00E74F07"/>
    <w:rsid w:val="00E74FF2"/>
    <w:rsid w:val="00E7589A"/>
    <w:rsid w:val="00E7635F"/>
    <w:rsid w:val="00E76CCB"/>
    <w:rsid w:val="00E76D0E"/>
    <w:rsid w:val="00E77776"/>
    <w:rsid w:val="00E80904"/>
    <w:rsid w:val="00E8094F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A88"/>
    <w:rsid w:val="00E90C06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1447"/>
    <w:rsid w:val="00EA27B9"/>
    <w:rsid w:val="00EA3D36"/>
    <w:rsid w:val="00EA3FB6"/>
    <w:rsid w:val="00EA4882"/>
    <w:rsid w:val="00EA4E9B"/>
    <w:rsid w:val="00EA55CD"/>
    <w:rsid w:val="00EA668F"/>
    <w:rsid w:val="00EA6781"/>
    <w:rsid w:val="00EA6982"/>
    <w:rsid w:val="00EB0F6B"/>
    <w:rsid w:val="00EB1991"/>
    <w:rsid w:val="00EB260F"/>
    <w:rsid w:val="00EB2A80"/>
    <w:rsid w:val="00EB3D58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B7CA7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F04"/>
    <w:rsid w:val="00EE6F91"/>
    <w:rsid w:val="00EE6F93"/>
    <w:rsid w:val="00EF0540"/>
    <w:rsid w:val="00EF1A28"/>
    <w:rsid w:val="00EF267B"/>
    <w:rsid w:val="00EF2B62"/>
    <w:rsid w:val="00EF3B2D"/>
    <w:rsid w:val="00EF52BA"/>
    <w:rsid w:val="00EF64E5"/>
    <w:rsid w:val="00EF66BA"/>
    <w:rsid w:val="00EF67AA"/>
    <w:rsid w:val="00EF7A94"/>
    <w:rsid w:val="00EF7BA3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556"/>
    <w:rsid w:val="00F12957"/>
    <w:rsid w:val="00F12A0E"/>
    <w:rsid w:val="00F14279"/>
    <w:rsid w:val="00F167D8"/>
    <w:rsid w:val="00F17D6C"/>
    <w:rsid w:val="00F2076C"/>
    <w:rsid w:val="00F208D7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175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08C9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DE2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A74"/>
    <w:rsid w:val="00F83306"/>
    <w:rsid w:val="00F844F7"/>
    <w:rsid w:val="00F84507"/>
    <w:rsid w:val="00F84898"/>
    <w:rsid w:val="00F874EB"/>
    <w:rsid w:val="00F909BA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97F6D"/>
    <w:rsid w:val="00FA02E9"/>
    <w:rsid w:val="00FA1D56"/>
    <w:rsid w:val="00FA2B6D"/>
    <w:rsid w:val="00FA3AE4"/>
    <w:rsid w:val="00FA4597"/>
    <w:rsid w:val="00FA5566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37F4"/>
    <w:rsid w:val="00FC42A9"/>
    <w:rsid w:val="00FC4768"/>
    <w:rsid w:val="00FC4826"/>
    <w:rsid w:val="00FC7D25"/>
    <w:rsid w:val="00FC7D3D"/>
    <w:rsid w:val="00FD11E1"/>
    <w:rsid w:val="00FD245E"/>
    <w:rsid w:val="00FD3430"/>
    <w:rsid w:val="00FD36F5"/>
    <w:rsid w:val="00FD375A"/>
    <w:rsid w:val="00FD3DF6"/>
    <w:rsid w:val="00FD4EB0"/>
    <w:rsid w:val="00FD5047"/>
    <w:rsid w:val="00FD549F"/>
    <w:rsid w:val="00FD5F23"/>
    <w:rsid w:val="00FD602B"/>
    <w:rsid w:val="00FD738E"/>
    <w:rsid w:val="00FD7C01"/>
    <w:rsid w:val="00FE0150"/>
    <w:rsid w:val="00FE02F9"/>
    <w:rsid w:val="00FE070E"/>
    <w:rsid w:val="00FE078D"/>
    <w:rsid w:val="00FE11DA"/>
    <w:rsid w:val="00FE2026"/>
    <w:rsid w:val="00FE43E9"/>
    <w:rsid w:val="00FE4E4C"/>
    <w:rsid w:val="00FE4F60"/>
    <w:rsid w:val="00FE6604"/>
    <w:rsid w:val="00FE6715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F56B3"/>
  <w15:chartTrackingRefBased/>
  <w15:docId w15:val="{067DF278-E26A-450F-B7E8-F6F0DA28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67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2621A8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efaultParagraphFont">
    <w:name w:val="Default Paragraph Font"/>
    <w:link w:val="DefaultParagraphFontParaCharCharCharCharChar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B7A17"/>
    <w:rPr>
      <w:rFonts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2675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B7A17"/>
    <w:rPr>
      <w:rFonts w:ascii=".VnTime" w:hAnsi=".VnTime" w:cs="Times New Roman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B7A17"/>
    <w:rPr>
      <w:rFonts w:ascii=".VnTime" w:hAnsi=".VnTime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7B7A17"/>
    <w:rPr>
      <w:rFonts w:cs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B7A17"/>
    <w:rPr>
      <w:rFonts w:cs="Times New Roman"/>
      <w:b/>
      <w:sz w:val="28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2621A8"/>
    <w:rPr>
      <w:rFonts w:ascii="Cambria" w:hAnsi="Cambria" w:cs="Times New Roman"/>
      <w:color w:val="272727"/>
      <w:sz w:val="21"/>
      <w:szCs w:val="21"/>
    </w:rPr>
  </w:style>
  <w:style w:type="table" w:styleId="TableGrid">
    <w:name w:val="Table Grid"/>
    <w:basedOn w:val="TableNormal"/>
    <w:uiPriority w:val="59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11D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0A1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11DB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95F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7A17"/>
    <w:rPr>
      <w:rFonts w:ascii=".VnTime" w:hAnsi=".VnTime" w:cs="Times New Roman"/>
      <w:b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7A17"/>
    <w:rPr>
      <w:rFonts w:cs="Times New Roman"/>
      <w:sz w:val="28"/>
    </w:rPr>
  </w:style>
  <w:style w:type="paragraph" w:styleId="BodyTextIndent2">
    <w:name w:val="Body Text Indent 2"/>
    <w:basedOn w:val="Normal"/>
    <w:link w:val="BodyTextIndent2Char"/>
    <w:uiPriority w:val="99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B7A17"/>
    <w:rPr>
      <w:rFonts w:cs="Times New Roman"/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7A17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rsid w:val="009267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2675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26756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453E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53E23"/>
    <w:rPr>
      <w:rFonts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2F08E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DocumentMap">
    <w:name w:val="Document Map"/>
    <w:basedOn w:val="Normal"/>
    <w:semiHidden/>
    <w:rsid w:val="00EA27B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1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120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subject/>
  <dc:creator>YlmF</dc:creator>
  <cp:keywords/>
  <dc:description/>
  <cp:lastModifiedBy>VinasecoPc</cp:lastModifiedBy>
  <cp:revision>3</cp:revision>
  <cp:lastPrinted>2022-12-14T04:12:00Z</cp:lastPrinted>
  <dcterms:created xsi:type="dcterms:W3CDTF">2022-12-26T10:11:00Z</dcterms:created>
  <dcterms:modified xsi:type="dcterms:W3CDTF">2022-12-26T10:12:00Z</dcterms:modified>
</cp:coreProperties>
</file>