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6326F" w14:paraId="47348D5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9792064" w14:textId="77777777" w:rsidR="00D6326F" w:rsidRDefault="00D6326F">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DC945D" w14:textId="77777777" w:rsidR="00D6326F" w:rsidRDefault="00D6326F">
            <w:pPr>
              <w:jc w:val="center"/>
            </w:pPr>
            <w:r>
              <w:rPr>
                <w:b/>
                <w:bCs/>
              </w:rPr>
              <w:t>VIỆT NAM DÂN CHỦ CỘNG HÒA </w:t>
            </w:r>
            <w:r>
              <w:rPr>
                <w:b/>
                <w:bCs/>
              </w:rPr>
              <w:br/>
              <w:t>Độc lập - Tự do - Hạnh phúc</w:t>
            </w:r>
            <w:r>
              <w:rPr>
                <w:b/>
                <w:bCs/>
              </w:rPr>
              <w:br/>
            </w:r>
            <w:r>
              <w:t xml:space="preserve">******** </w:t>
            </w:r>
          </w:p>
        </w:tc>
      </w:tr>
      <w:tr w:rsidR="00D6326F" w14:paraId="7687BEE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1E8550" w14:textId="77777777" w:rsidR="00D6326F" w:rsidRDefault="00D6326F">
            <w:pPr>
              <w:jc w:val="center"/>
            </w:pPr>
            <w:r>
              <w:t xml:space="preserve">Số: 4173-PQC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BED37F0" w14:textId="77777777" w:rsidR="00D6326F" w:rsidRDefault="00D6326F">
            <w:pPr>
              <w:jc w:val="right"/>
            </w:pPr>
            <w:r>
              <w:rPr>
                <w:i/>
                <w:iCs/>
              </w:rPr>
              <w:t>Hà Nội, ngày 23 tháng 10 năm 1956 </w:t>
            </w:r>
            <w:r>
              <w:t xml:space="preserve"> </w:t>
            </w:r>
          </w:p>
        </w:tc>
      </w:tr>
    </w:tbl>
    <w:p w14:paraId="50B3F0D9" w14:textId="77777777" w:rsidR="00D6326F" w:rsidRDefault="00D6326F">
      <w:pPr>
        <w:spacing w:after="120"/>
      </w:pPr>
      <w:r>
        <w:rPr>
          <w:b/>
          <w:bCs/>
          <w:vanish/>
        </w:rPr>
        <w:t> </w:t>
      </w:r>
    </w:p>
    <w:p w14:paraId="222B8695" w14:textId="77777777" w:rsidR="00D6326F" w:rsidRDefault="00D6326F">
      <w:pPr>
        <w:spacing w:after="120"/>
        <w:jc w:val="center"/>
      </w:pPr>
      <w:r>
        <w:rPr>
          <w:b/>
          <w:bCs/>
        </w:rPr>
        <w:t>NGHỊ ĐỊNH</w:t>
      </w:r>
    </w:p>
    <w:p w14:paraId="7AD6BC1F" w14:textId="77777777" w:rsidR="00D6326F" w:rsidRDefault="00D6326F">
      <w:pPr>
        <w:spacing w:after="120"/>
        <w:jc w:val="center"/>
      </w:pPr>
      <w:r>
        <w:rPr>
          <w:rFonts w:ascii="Arial" w:eastAsia="Arial" w:hAnsi="Arial" w:cs="Arial"/>
          <w:bCs/>
        </w:rPr>
        <w:t>QUY ĐỊNH TẠM THỜI CHẾ ĐỘ BỒI DƯỠNG CHO CÁN BỘ CÔNG NHÂN VIÊN ĐAU ỐM NẰM Ở BỆNH VIỆN</w:t>
      </w:r>
    </w:p>
    <w:p w14:paraId="1AFBE1BB" w14:textId="77777777" w:rsidR="00D6326F" w:rsidRDefault="00D6326F">
      <w:pPr>
        <w:spacing w:after="120"/>
        <w:jc w:val="center"/>
      </w:pPr>
      <w:r>
        <w:rPr>
          <w:b/>
          <w:bCs/>
        </w:rPr>
        <w:t> BỘ TRƯỞNG BỘ NỘI VỤ</w:t>
      </w:r>
    </w:p>
    <w:tbl>
      <w:tblPr>
        <w:tblW w:w="0" w:type="auto"/>
        <w:jc w:val="center"/>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1918"/>
        <w:gridCol w:w="6812"/>
      </w:tblGrid>
      <w:tr w:rsidR="00D6326F" w14:paraId="047F8A3D" w14:textId="77777777">
        <w:trPr>
          <w:tblCellSpacing w:w="15" w:type="dxa"/>
          <w:jc w:val="center"/>
        </w:trPr>
        <w:tc>
          <w:tcPr>
            <w:tcW w:w="1873" w:type="dxa"/>
            <w:tcBorders>
              <w:top w:val="nil"/>
              <w:left w:val="nil"/>
              <w:bottom w:val="nil"/>
              <w:right w:val="nil"/>
              <w:tl2br w:val="nil"/>
              <w:tr2bl w:val="nil"/>
            </w:tcBorders>
            <w:shd w:val="clear" w:color="auto" w:fill="auto"/>
            <w:tcMar>
              <w:top w:w="15" w:type="dxa"/>
              <w:left w:w="15" w:type="dxa"/>
              <w:bottom w:w="15" w:type="dxa"/>
              <w:right w:w="15" w:type="dxa"/>
            </w:tcMar>
          </w:tcPr>
          <w:p w14:paraId="4C0F8F23" w14:textId="77777777" w:rsidR="00D6326F" w:rsidRDefault="00D6326F">
            <w:pPr>
              <w:jc w:val="right"/>
            </w:pPr>
            <w:r>
              <w:rPr>
                <w:rFonts w:ascii="Arial" w:eastAsia="Arial" w:hAnsi="Arial" w:cs="Arial"/>
                <w:b/>
                <w:bCs/>
              </w:rPr>
              <w:t>Kính gửi:</w:t>
            </w:r>
          </w:p>
        </w:tc>
        <w:tc>
          <w:tcPr>
            <w:tcW w:w="6767" w:type="dxa"/>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0BF30124" w14:textId="77777777" w:rsidR="00D6326F" w:rsidRDefault="00D6326F">
            <w:r>
              <w:t>Các Bộ, các cơ quan Trung ương, các Ủy ban Hành chính Liên khu, Khu, Thành, Tỉnh.</w:t>
            </w:r>
          </w:p>
        </w:tc>
      </w:tr>
    </w:tbl>
    <w:p w14:paraId="2BE6F691" w14:textId="77777777" w:rsidR="00D6326F" w:rsidRDefault="00D6326F">
      <w:pPr>
        <w:spacing w:after="120"/>
      </w:pPr>
      <w:r>
        <w:t>Hiện nay chế độ các bệnh viện Trung ương cũng như địa phương mỗi nơi một khác. Tình trạng ấy sinh ra thắc mắc nhiều trong cán bộ công nhân viên. Trong khi chờ đợi ban hành một quy định chính thức và hợp lý hơn, sau khi đã thỏa thuận với các Bộ Tài chính, Lao động và Y tế , Bộ tôi báo để các Bộ, cơ quan, đoàn thể Trung ương, các địa phương và các bệnh viện tạm thời áp dụng chế độ như đã quy định cho Viện Điều dưỡng Trung ương trong công văn số 2796-PQC ngày 25-08-1956 của Bộ tôi.</w:t>
      </w:r>
    </w:p>
    <w:p w14:paraId="568DD930" w14:textId="77777777" w:rsidR="00D6326F" w:rsidRDefault="00D6326F">
      <w:pPr>
        <w:spacing w:after="120"/>
      </w:pPr>
      <w:r>
        <w:t>Cụ thể các mức ăn bồi dưỡng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40"/>
        <w:gridCol w:w="1440"/>
        <w:gridCol w:w="1800"/>
        <w:gridCol w:w="1365"/>
      </w:tblGrid>
      <w:tr w:rsidR="00D6326F" w14:paraId="7F9229D5" w14:textId="77777777">
        <w:tc>
          <w:tcPr>
            <w:tcW w:w="41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EF57" w14:textId="77777777" w:rsidR="00D6326F" w:rsidRDefault="00D6326F">
            <w:pPr>
              <w:jc w:val="center"/>
            </w:pPr>
            <w:r>
              <w:t>CÁC LOẠI CÁN BỘ</w:t>
            </w:r>
          </w:p>
        </w:tc>
        <w:tc>
          <w:tcPr>
            <w:tcW w:w="14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9B79" w14:textId="77777777" w:rsidR="00D6326F" w:rsidRDefault="00D6326F">
            <w:pPr>
              <w:jc w:val="center"/>
            </w:pPr>
            <w:r>
              <w:t>Mức ăn</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33A5" w14:textId="77777777" w:rsidR="00D6326F" w:rsidRDefault="00D6326F">
            <w:pPr>
              <w:jc w:val="center"/>
            </w:pPr>
            <w:r>
              <w:t>Bệnh nhân phải trả</w:t>
            </w:r>
          </w:p>
        </w:tc>
        <w:tc>
          <w:tcPr>
            <w:tcW w:w="136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0DBF" w14:textId="77777777" w:rsidR="00D6326F" w:rsidRDefault="00D6326F">
            <w:pPr>
              <w:jc w:val="center"/>
            </w:pPr>
            <w:r>
              <w:t>Công quỹ đài thọ</w:t>
            </w:r>
          </w:p>
        </w:tc>
      </w:tr>
      <w:tr w:rsidR="00D6326F" w14:paraId="6617FF45" w14:textId="77777777">
        <w:tblPrEx>
          <w:tblBorders>
            <w:top w:val="none" w:sz="0" w:space="0" w:color="auto"/>
            <w:bottom w:val="none" w:sz="0" w:space="0" w:color="auto"/>
            <w:insideH w:val="none" w:sz="0" w:space="0" w:color="auto"/>
            <w:insideV w:val="none" w:sz="0" w:space="0" w:color="auto"/>
          </w:tblBorders>
        </w:tblPrEx>
        <w:tc>
          <w:tcPr>
            <w:tcW w:w="414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5BBB3B" w14:textId="77777777" w:rsidR="00D6326F" w:rsidRDefault="00D6326F">
            <w:pPr>
              <w:spacing w:after="120"/>
            </w:pPr>
            <w:r>
              <w:t>1. –  Cán bộ chính quyền  từ bậc 17 đến 12</w:t>
            </w:r>
          </w:p>
          <w:p w14:paraId="4B2A7ACF" w14:textId="77777777" w:rsidR="00D6326F" w:rsidRDefault="00D6326F">
            <w:pPr>
              <w:spacing w:after="120"/>
            </w:pPr>
            <w:r>
              <w:t>        Cán bộ đoàn thể        từ bậc 15 đến 10</w:t>
            </w:r>
          </w:p>
          <w:p w14:paraId="37B62FC4" w14:textId="77777777" w:rsidR="00D6326F" w:rsidRDefault="00D6326F">
            <w:pPr>
              <w:spacing w:after="120"/>
            </w:pPr>
            <w:r>
              <w:t>        Cán bộ kỹ thuật         từ bậc 11 đến 07</w:t>
            </w:r>
          </w:p>
          <w:p w14:paraId="63534080" w14:textId="77777777" w:rsidR="00D6326F" w:rsidRDefault="00D6326F">
            <w:pPr>
              <w:spacing w:after="120"/>
            </w:pPr>
            <w:r>
              <w:t>        Cán bộ mậu dịch       từ bậc 13 đến 08</w:t>
            </w:r>
          </w:p>
          <w:p w14:paraId="0BDE6796" w14:textId="77777777" w:rsidR="00D6326F" w:rsidRDefault="00D6326F">
            <w:pPr>
              <w:spacing w:after="120"/>
            </w:pPr>
            <w:r>
              <w:t>        Cán bộ bưu điện        từ bậc 12 đến 07</w:t>
            </w:r>
          </w:p>
          <w:p w14:paraId="6E38AD59" w14:textId="77777777" w:rsidR="00D6326F" w:rsidRDefault="00D6326F">
            <w:pPr>
              <w:spacing w:after="120"/>
            </w:pPr>
            <w:r>
              <w:t>        Cán bộ đường sắt      từ bậc 28 đến 14</w:t>
            </w:r>
          </w:p>
          <w:p w14:paraId="0F5F1098" w14:textId="77777777" w:rsidR="00D6326F" w:rsidRDefault="00D6326F">
            <w:pPr>
              <w:spacing w:after="120"/>
            </w:pPr>
            <w:r>
              <w:t>        Công nhân xí nghiệp từ bậc 08 đến 04</w:t>
            </w:r>
          </w:p>
          <w:p w14:paraId="4D0C4201" w14:textId="77777777" w:rsidR="00D6326F" w:rsidRDefault="00D6326F">
            <w:pPr>
              <w:spacing w:after="120"/>
            </w:pPr>
            <w:r>
              <w:t>        Lao động thường       từ bậc 06 đến 01</w:t>
            </w:r>
          </w:p>
          <w:p w14:paraId="6A4CEF56" w14:textId="77777777" w:rsidR="00D6326F" w:rsidRDefault="00D6326F">
            <w:pPr>
              <w:spacing w:after="120"/>
            </w:pPr>
            <w:r>
              <w:t>2. –  Cán bộ chính quyền  từ bậc 11 đến 09</w:t>
            </w:r>
          </w:p>
          <w:p w14:paraId="2486A151" w14:textId="77777777" w:rsidR="00D6326F" w:rsidRDefault="00D6326F">
            <w:pPr>
              <w:spacing w:after="120"/>
            </w:pPr>
            <w:r>
              <w:lastRenderedPageBreak/>
              <w:t>        Cán bộ đoàn thể        từ bậc 09 đến 07</w:t>
            </w:r>
          </w:p>
          <w:p w14:paraId="5BE7698E" w14:textId="77777777" w:rsidR="00D6326F" w:rsidRDefault="00D6326F">
            <w:pPr>
              <w:spacing w:after="120"/>
            </w:pPr>
            <w:r>
              <w:t>        Cán bộ kỹ thuật         từ bậc 06 đến 04</w:t>
            </w:r>
          </w:p>
          <w:p w14:paraId="57C95137" w14:textId="77777777" w:rsidR="00D6326F" w:rsidRDefault="00D6326F">
            <w:pPr>
              <w:spacing w:after="120"/>
            </w:pPr>
            <w:r>
              <w:t>        Cán bộ mậu dịch       từ bậc 07 đến 04</w:t>
            </w:r>
          </w:p>
          <w:p w14:paraId="613D82A5" w14:textId="77777777" w:rsidR="00D6326F" w:rsidRDefault="00D6326F">
            <w:pPr>
              <w:spacing w:after="120"/>
            </w:pPr>
            <w:r>
              <w:t>        Cán bộ bưu điện        từ bậc 06 đến 04</w:t>
            </w:r>
          </w:p>
          <w:p w14:paraId="0FC9E1B7" w14:textId="77777777" w:rsidR="00D6326F" w:rsidRDefault="00D6326F">
            <w:pPr>
              <w:spacing w:after="120"/>
            </w:pPr>
            <w:r>
              <w:t>        Cán bộ đường sắt      từ bậc 13 đến 04</w:t>
            </w:r>
          </w:p>
          <w:p w14:paraId="4EE4E0ED" w14:textId="77777777" w:rsidR="00D6326F" w:rsidRDefault="00D6326F">
            <w:pPr>
              <w:spacing w:after="120"/>
            </w:pPr>
            <w:r>
              <w:t>        Công nhân xí nghiệp từ bậc 03 đến 01</w:t>
            </w:r>
          </w:p>
          <w:p w14:paraId="3D95CDD2" w14:textId="77777777" w:rsidR="00D6326F" w:rsidRDefault="00D6326F">
            <w:pPr>
              <w:spacing w:after="120"/>
            </w:pPr>
            <w:r>
              <w:t>3. –  Cán bộ chính quyền  từ bậc 08 đến 06</w:t>
            </w:r>
          </w:p>
          <w:p w14:paraId="3705D671" w14:textId="77777777" w:rsidR="00D6326F" w:rsidRDefault="00D6326F">
            <w:pPr>
              <w:spacing w:after="120"/>
            </w:pPr>
            <w:r>
              <w:t>        Cán bộ đoàn thể        từ bậc 06 đến 04</w:t>
            </w:r>
          </w:p>
          <w:p w14:paraId="76008F21" w14:textId="77777777" w:rsidR="00D6326F" w:rsidRDefault="00D6326F">
            <w:pPr>
              <w:spacing w:after="120"/>
            </w:pPr>
            <w:r>
              <w:t>        Cán bộ kỹ thuật         từ bậc 03 đến 01</w:t>
            </w:r>
          </w:p>
          <w:p w14:paraId="0E7FDC47" w14:textId="77777777" w:rsidR="00D6326F" w:rsidRDefault="00D6326F">
            <w:pPr>
              <w:spacing w:after="120"/>
            </w:pPr>
            <w:r>
              <w:t>        Cán bộ mậu dịch       từ bậc 03 đến 01</w:t>
            </w:r>
          </w:p>
          <w:p w14:paraId="5A3249DC" w14:textId="77777777" w:rsidR="00D6326F" w:rsidRDefault="00D6326F">
            <w:pPr>
              <w:spacing w:after="120"/>
            </w:pPr>
            <w:r>
              <w:t>        Cán bộ bưu điện        từ bậc 03 đến 01</w:t>
            </w:r>
          </w:p>
          <w:p w14:paraId="5648745B" w14:textId="77777777" w:rsidR="00D6326F" w:rsidRDefault="00D6326F">
            <w:pPr>
              <w:spacing w:after="120"/>
            </w:pPr>
            <w:r>
              <w:t>        Cán bộ đường sắt      từ bậc 03 đến 01</w:t>
            </w:r>
          </w:p>
          <w:p w14:paraId="34A4B56E" w14:textId="77777777" w:rsidR="00D6326F" w:rsidRDefault="00D6326F">
            <w:pPr>
              <w:spacing w:after="120"/>
            </w:pPr>
            <w:r>
              <w:t>        Cán bộ chính quyền  từ bậc 05 trở lên</w:t>
            </w:r>
          </w:p>
          <w:p w14:paraId="2DD105CB" w14:textId="77777777" w:rsidR="00D6326F" w:rsidRDefault="00D6326F">
            <w:r>
              <w:t>        Cán bộ đoàn thể        từ bậc 03 trở lên</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80580" w14:textId="77777777" w:rsidR="00D6326F" w:rsidRDefault="00D6326F">
            <w:pPr>
              <w:spacing w:after="120"/>
            </w:pPr>
            <w:r>
              <w:lastRenderedPageBreak/>
              <w:t> </w:t>
            </w:r>
          </w:p>
          <w:p w14:paraId="6857E7A6" w14:textId="77777777" w:rsidR="00D6326F" w:rsidRDefault="00D6326F">
            <w:pPr>
              <w:spacing w:after="120"/>
              <w:jc w:val="center"/>
            </w:pPr>
            <w:r>
              <w:t>ốm thường 1.000đ</w:t>
            </w:r>
          </w:p>
          <w:p w14:paraId="0F5EB794" w14:textId="77777777" w:rsidR="00D6326F" w:rsidRDefault="00D6326F">
            <w:pPr>
              <w:spacing w:after="120"/>
              <w:jc w:val="center"/>
            </w:pPr>
            <w:r>
              <w:t> </w:t>
            </w:r>
          </w:p>
          <w:p w14:paraId="3FB56E4D" w14:textId="77777777" w:rsidR="00D6326F" w:rsidRDefault="00D6326F">
            <w:pPr>
              <w:spacing w:after="120"/>
              <w:jc w:val="center"/>
            </w:pPr>
            <w:r>
              <w:t>ốm nặng 1.200đ</w:t>
            </w:r>
          </w:p>
          <w:p w14:paraId="2E554907" w14:textId="77777777" w:rsidR="00D6326F" w:rsidRDefault="00D6326F">
            <w:pPr>
              <w:spacing w:after="120"/>
              <w:jc w:val="center"/>
            </w:pPr>
            <w:r>
              <w:t> </w:t>
            </w:r>
          </w:p>
          <w:p w14:paraId="18DF6F35" w14:textId="77777777" w:rsidR="00D6326F" w:rsidRDefault="00D6326F">
            <w:pPr>
              <w:spacing w:after="120"/>
              <w:jc w:val="center"/>
            </w:pPr>
            <w:r>
              <w:t> </w:t>
            </w:r>
          </w:p>
          <w:p w14:paraId="4EB9F9AD" w14:textId="77777777" w:rsidR="00D6326F" w:rsidRDefault="00D6326F">
            <w:pPr>
              <w:spacing w:after="120"/>
              <w:jc w:val="center"/>
            </w:pPr>
            <w:r>
              <w:t> </w:t>
            </w:r>
          </w:p>
          <w:p w14:paraId="4FAC4F3E" w14:textId="77777777" w:rsidR="00D6326F" w:rsidRDefault="00D6326F">
            <w:pPr>
              <w:spacing w:after="120"/>
              <w:jc w:val="center"/>
            </w:pPr>
            <w:r>
              <w:t>ốm thường 1.200đ</w:t>
            </w:r>
          </w:p>
          <w:p w14:paraId="2068DEDC" w14:textId="77777777" w:rsidR="00D6326F" w:rsidRDefault="00D6326F">
            <w:pPr>
              <w:spacing w:after="120"/>
              <w:jc w:val="center"/>
            </w:pPr>
            <w:r>
              <w:t> </w:t>
            </w:r>
          </w:p>
          <w:p w14:paraId="723A4F86" w14:textId="77777777" w:rsidR="00D6326F" w:rsidRDefault="00D6326F">
            <w:pPr>
              <w:spacing w:after="120"/>
              <w:jc w:val="center"/>
            </w:pPr>
            <w:r>
              <w:t>ốm nặng 1.600đ</w:t>
            </w:r>
          </w:p>
          <w:p w14:paraId="4209AAF6" w14:textId="77777777" w:rsidR="00D6326F" w:rsidRDefault="00D6326F">
            <w:pPr>
              <w:spacing w:after="120"/>
              <w:jc w:val="center"/>
            </w:pPr>
            <w:r>
              <w:t> </w:t>
            </w:r>
          </w:p>
          <w:p w14:paraId="07F06CC6" w14:textId="77777777" w:rsidR="00D6326F" w:rsidRDefault="00D6326F">
            <w:pPr>
              <w:spacing w:after="120"/>
              <w:jc w:val="center"/>
            </w:pPr>
            <w:r>
              <w:t>ốm thường 1.600đ</w:t>
            </w:r>
          </w:p>
          <w:p w14:paraId="2D898D65" w14:textId="77777777" w:rsidR="00D6326F" w:rsidRDefault="00D6326F">
            <w:pPr>
              <w:spacing w:after="120"/>
              <w:jc w:val="center"/>
            </w:pPr>
            <w:r>
              <w:lastRenderedPageBreak/>
              <w:t> </w:t>
            </w:r>
          </w:p>
          <w:p w14:paraId="11022EA4" w14:textId="77777777" w:rsidR="00D6326F" w:rsidRDefault="00D6326F">
            <w:pPr>
              <w:spacing w:after="120"/>
              <w:jc w:val="center"/>
            </w:pPr>
            <w:r>
              <w:t>ốm nặng 2.400đ</w:t>
            </w:r>
          </w:p>
          <w:p w14:paraId="1BC3FFFB" w14:textId="77777777" w:rsidR="00D6326F" w:rsidRDefault="00D6326F">
            <w:pPr>
              <w:spacing w:after="120"/>
              <w:jc w:val="center"/>
            </w:pPr>
            <w:r>
              <w:t> </w:t>
            </w:r>
          </w:p>
          <w:p w14:paraId="493FEEB7" w14:textId="77777777" w:rsidR="00D6326F" w:rsidRDefault="00D6326F">
            <w:pPr>
              <w:jc w:val="center"/>
            </w:pPr>
            <w:r>
              <w:t>2.400đ</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5B49A" w14:textId="77777777" w:rsidR="00D6326F" w:rsidRDefault="00D6326F">
            <w:pPr>
              <w:spacing w:after="120"/>
            </w:pPr>
            <w:r>
              <w:lastRenderedPageBreak/>
              <w:t> </w:t>
            </w:r>
          </w:p>
          <w:p w14:paraId="39DE54C8" w14:textId="77777777" w:rsidR="00D6326F" w:rsidRDefault="00D6326F">
            <w:pPr>
              <w:spacing w:after="120"/>
              <w:jc w:val="center"/>
            </w:pPr>
            <w:r>
              <w:t>600đ</w:t>
            </w:r>
          </w:p>
          <w:p w14:paraId="21675885" w14:textId="77777777" w:rsidR="00D6326F" w:rsidRDefault="00D6326F">
            <w:pPr>
              <w:spacing w:after="120"/>
              <w:jc w:val="center"/>
            </w:pPr>
            <w:r>
              <w:t> </w:t>
            </w:r>
          </w:p>
          <w:p w14:paraId="14BBB452" w14:textId="77777777" w:rsidR="00D6326F" w:rsidRDefault="00D6326F">
            <w:pPr>
              <w:spacing w:after="120"/>
              <w:jc w:val="center"/>
            </w:pPr>
            <w:r>
              <w:t> </w:t>
            </w:r>
          </w:p>
          <w:p w14:paraId="000164A4" w14:textId="77777777" w:rsidR="00D6326F" w:rsidRDefault="00D6326F">
            <w:pPr>
              <w:spacing w:after="120"/>
              <w:jc w:val="center"/>
            </w:pPr>
            <w:r>
              <w:t>600đ</w:t>
            </w:r>
          </w:p>
          <w:p w14:paraId="507E998E" w14:textId="77777777" w:rsidR="00D6326F" w:rsidRDefault="00D6326F">
            <w:pPr>
              <w:spacing w:after="120"/>
              <w:jc w:val="center"/>
            </w:pPr>
            <w:r>
              <w:t> </w:t>
            </w:r>
          </w:p>
          <w:p w14:paraId="23D5BC59" w14:textId="77777777" w:rsidR="00D6326F" w:rsidRDefault="00D6326F">
            <w:pPr>
              <w:spacing w:after="120"/>
              <w:jc w:val="center"/>
            </w:pPr>
            <w:r>
              <w:t> </w:t>
            </w:r>
          </w:p>
          <w:p w14:paraId="59A768EA" w14:textId="77777777" w:rsidR="00D6326F" w:rsidRDefault="00D6326F">
            <w:pPr>
              <w:spacing w:after="120"/>
              <w:jc w:val="center"/>
            </w:pPr>
            <w:r>
              <w:t> </w:t>
            </w:r>
          </w:p>
          <w:p w14:paraId="0670B6E6" w14:textId="77777777" w:rsidR="00D6326F" w:rsidRDefault="00D6326F">
            <w:pPr>
              <w:spacing w:after="120"/>
              <w:jc w:val="center"/>
            </w:pPr>
            <w:r>
              <w:t> </w:t>
            </w:r>
          </w:p>
          <w:p w14:paraId="2D253986" w14:textId="77777777" w:rsidR="00D6326F" w:rsidRDefault="00D6326F">
            <w:pPr>
              <w:spacing w:after="120"/>
              <w:jc w:val="center"/>
            </w:pPr>
            <w:r>
              <w:t> </w:t>
            </w:r>
          </w:p>
          <w:p w14:paraId="081C845A" w14:textId="77777777" w:rsidR="00D6326F" w:rsidRDefault="00D6326F">
            <w:pPr>
              <w:spacing w:after="120"/>
              <w:jc w:val="center"/>
            </w:pPr>
            <w:r>
              <w:t>800đ</w:t>
            </w:r>
          </w:p>
          <w:p w14:paraId="490E2CCA" w14:textId="77777777" w:rsidR="00D6326F" w:rsidRDefault="00D6326F">
            <w:pPr>
              <w:spacing w:after="120"/>
              <w:jc w:val="center"/>
            </w:pPr>
            <w:r>
              <w:t> </w:t>
            </w:r>
          </w:p>
          <w:p w14:paraId="3FD90EC9" w14:textId="77777777" w:rsidR="00D6326F" w:rsidRDefault="00D6326F">
            <w:pPr>
              <w:spacing w:after="120"/>
              <w:jc w:val="center"/>
            </w:pPr>
            <w:r>
              <w:t> </w:t>
            </w:r>
          </w:p>
          <w:p w14:paraId="051900DA" w14:textId="77777777" w:rsidR="00D6326F" w:rsidRDefault="00D6326F">
            <w:pPr>
              <w:spacing w:after="120"/>
              <w:jc w:val="center"/>
            </w:pPr>
            <w:r>
              <w:t>800đ</w:t>
            </w:r>
          </w:p>
          <w:p w14:paraId="2B4257C7" w14:textId="77777777" w:rsidR="00D6326F" w:rsidRDefault="00D6326F">
            <w:pPr>
              <w:spacing w:after="120"/>
              <w:jc w:val="center"/>
            </w:pPr>
            <w:r>
              <w:t> </w:t>
            </w:r>
          </w:p>
          <w:p w14:paraId="2B2E4A0E" w14:textId="77777777" w:rsidR="00D6326F" w:rsidRDefault="00D6326F">
            <w:pPr>
              <w:spacing w:after="120"/>
              <w:jc w:val="center"/>
            </w:pPr>
            <w:r>
              <w:t> </w:t>
            </w:r>
          </w:p>
          <w:p w14:paraId="29DBCFFB" w14:textId="77777777" w:rsidR="00D6326F" w:rsidRDefault="00D6326F">
            <w:pPr>
              <w:spacing w:after="120"/>
              <w:jc w:val="center"/>
            </w:pPr>
            <w:r>
              <w:lastRenderedPageBreak/>
              <w:t>1.000đ</w:t>
            </w:r>
          </w:p>
          <w:p w14:paraId="70C6A24D" w14:textId="77777777" w:rsidR="00D6326F" w:rsidRDefault="00D6326F">
            <w:pPr>
              <w:spacing w:after="120"/>
              <w:jc w:val="center"/>
            </w:pPr>
            <w:r>
              <w:t> </w:t>
            </w:r>
          </w:p>
          <w:p w14:paraId="0F4D672D" w14:textId="77777777" w:rsidR="00D6326F" w:rsidRDefault="00D6326F">
            <w:pPr>
              <w:spacing w:after="120"/>
              <w:jc w:val="center"/>
            </w:pPr>
            <w:r>
              <w:t> </w:t>
            </w:r>
          </w:p>
          <w:p w14:paraId="277BDEEC" w14:textId="77777777" w:rsidR="00D6326F" w:rsidRDefault="00D6326F">
            <w:pPr>
              <w:spacing w:after="120"/>
              <w:jc w:val="center"/>
            </w:pPr>
            <w:r>
              <w:t>1.000đ</w:t>
            </w:r>
          </w:p>
          <w:p w14:paraId="5623D8B4" w14:textId="77777777" w:rsidR="00D6326F" w:rsidRDefault="00D6326F">
            <w:pPr>
              <w:spacing w:after="120"/>
              <w:jc w:val="center"/>
            </w:pPr>
            <w:r>
              <w:t> </w:t>
            </w:r>
          </w:p>
          <w:p w14:paraId="383D4A7B" w14:textId="77777777" w:rsidR="00D6326F" w:rsidRDefault="00D6326F">
            <w:pPr>
              <w:spacing w:after="120"/>
              <w:jc w:val="center"/>
            </w:pPr>
            <w:r>
              <w:t>1.200đ</w:t>
            </w:r>
          </w:p>
          <w:p w14:paraId="225F2967" w14:textId="77777777" w:rsidR="00D6326F" w:rsidRDefault="00D6326F">
            <w:r>
              <w:t> </w:t>
            </w:r>
          </w:p>
        </w:tc>
        <w:tc>
          <w:tcPr>
            <w:tcW w:w="13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40A4B" w14:textId="77777777" w:rsidR="00D6326F" w:rsidRDefault="00D6326F">
            <w:pPr>
              <w:spacing w:after="120"/>
            </w:pPr>
            <w:r>
              <w:lastRenderedPageBreak/>
              <w:t> </w:t>
            </w:r>
          </w:p>
          <w:p w14:paraId="76CBA9B9" w14:textId="77777777" w:rsidR="00D6326F" w:rsidRDefault="00D6326F">
            <w:pPr>
              <w:spacing w:after="120"/>
              <w:jc w:val="center"/>
            </w:pPr>
            <w:r>
              <w:t>400đ</w:t>
            </w:r>
          </w:p>
          <w:p w14:paraId="7E3B0D2C" w14:textId="77777777" w:rsidR="00D6326F" w:rsidRDefault="00D6326F">
            <w:pPr>
              <w:spacing w:after="120"/>
              <w:jc w:val="center"/>
            </w:pPr>
            <w:r>
              <w:t> </w:t>
            </w:r>
          </w:p>
          <w:p w14:paraId="3A7551A3" w14:textId="77777777" w:rsidR="00D6326F" w:rsidRDefault="00D6326F">
            <w:pPr>
              <w:spacing w:after="120"/>
              <w:jc w:val="center"/>
            </w:pPr>
            <w:r>
              <w:t> </w:t>
            </w:r>
          </w:p>
          <w:p w14:paraId="41C9AF69" w14:textId="77777777" w:rsidR="00D6326F" w:rsidRDefault="00D6326F">
            <w:pPr>
              <w:spacing w:after="120"/>
              <w:jc w:val="center"/>
            </w:pPr>
            <w:r>
              <w:t>600đ</w:t>
            </w:r>
          </w:p>
          <w:p w14:paraId="715B16C6" w14:textId="77777777" w:rsidR="00D6326F" w:rsidRDefault="00D6326F">
            <w:pPr>
              <w:spacing w:after="120"/>
              <w:jc w:val="center"/>
            </w:pPr>
            <w:r>
              <w:t> </w:t>
            </w:r>
          </w:p>
          <w:p w14:paraId="4E859CA5" w14:textId="77777777" w:rsidR="00D6326F" w:rsidRDefault="00D6326F">
            <w:pPr>
              <w:spacing w:after="120"/>
              <w:jc w:val="center"/>
            </w:pPr>
            <w:r>
              <w:t> </w:t>
            </w:r>
          </w:p>
          <w:p w14:paraId="76D74360" w14:textId="77777777" w:rsidR="00D6326F" w:rsidRDefault="00D6326F">
            <w:pPr>
              <w:spacing w:after="120"/>
              <w:jc w:val="center"/>
            </w:pPr>
            <w:r>
              <w:t> </w:t>
            </w:r>
          </w:p>
          <w:p w14:paraId="3B40A71F" w14:textId="77777777" w:rsidR="00D6326F" w:rsidRDefault="00D6326F">
            <w:pPr>
              <w:spacing w:after="120"/>
              <w:jc w:val="center"/>
            </w:pPr>
            <w:r>
              <w:t> </w:t>
            </w:r>
          </w:p>
          <w:p w14:paraId="3A5823CF" w14:textId="77777777" w:rsidR="00D6326F" w:rsidRDefault="00D6326F">
            <w:pPr>
              <w:spacing w:after="120"/>
              <w:jc w:val="center"/>
            </w:pPr>
            <w:r>
              <w:t> </w:t>
            </w:r>
          </w:p>
          <w:p w14:paraId="626283FB" w14:textId="77777777" w:rsidR="00D6326F" w:rsidRDefault="00D6326F">
            <w:pPr>
              <w:spacing w:after="120"/>
              <w:jc w:val="center"/>
            </w:pPr>
            <w:r>
              <w:t>400đ</w:t>
            </w:r>
          </w:p>
          <w:p w14:paraId="786E0E78" w14:textId="77777777" w:rsidR="00D6326F" w:rsidRDefault="00D6326F">
            <w:pPr>
              <w:spacing w:after="120"/>
              <w:jc w:val="center"/>
            </w:pPr>
            <w:r>
              <w:t> </w:t>
            </w:r>
          </w:p>
          <w:p w14:paraId="312E0D14" w14:textId="77777777" w:rsidR="00D6326F" w:rsidRDefault="00D6326F">
            <w:pPr>
              <w:spacing w:after="120"/>
              <w:jc w:val="center"/>
            </w:pPr>
            <w:r>
              <w:t> </w:t>
            </w:r>
          </w:p>
          <w:p w14:paraId="4EB878EE" w14:textId="77777777" w:rsidR="00D6326F" w:rsidRDefault="00D6326F">
            <w:pPr>
              <w:spacing w:after="120"/>
              <w:jc w:val="center"/>
            </w:pPr>
            <w:r>
              <w:t>800đ</w:t>
            </w:r>
          </w:p>
          <w:p w14:paraId="160412F0" w14:textId="77777777" w:rsidR="00D6326F" w:rsidRDefault="00D6326F">
            <w:pPr>
              <w:spacing w:after="120"/>
              <w:jc w:val="center"/>
            </w:pPr>
            <w:r>
              <w:t> </w:t>
            </w:r>
          </w:p>
          <w:p w14:paraId="355737D0" w14:textId="77777777" w:rsidR="00D6326F" w:rsidRDefault="00D6326F">
            <w:pPr>
              <w:spacing w:after="120"/>
              <w:jc w:val="center"/>
            </w:pPr>
            <w:r>
              <w:t> </w:t>
            </w:r>
          </w:p>
          <w:p w14:paraId="6E04E9FF" w14:textId="77777777" w:rsidR="00D6326F" w:rsidRDefault="00D6326F">
            <w:pPr>
              <w:spacing w:after="120"/>
              <w:jc w:val="center"/>
            </w:pPr>
            <w:r>
              <w:lastRenderedPageBreak/>
              <w:t>600đ</w:t>
            </w:r>
          </w:p>
          <w:p w14:paraId="4D91C7C2" w14:textId="77777777" w:rsidR="00D6326F" w:rsidRDefault="00D6326F">
            <w:pPr>
              <w:spacing w:after="120"/>
              <w:jc w:val="center"/>
            </w:pPr>
            <w:r>
              <w:t> </w:t>
            </w:r>
          </w:p>
          <w:p w14:paraId="6CA93B82" w14:textId="77777777" w:rsidR="00D6326F" w:rsidRDefault="00D6326F">
            <w:pPr>
              <w:spacing w:after="120"/>
              <w:jc w:val="center"/>
            </w:pPr>
            <w:r>
              <w:t> </w:t>
            </w:r>
          </w:p>
          <w:p w14:paraId="335CE8DB" w14:textId="77777777" w:rsidR="00D6326F" w:rsidRDefault="00D6326F">
            <w:pPr>
              <w:spacing w:after="120"/>
              <w:jc w:val="center"/>
            </w:pPr>
            <w:r>
              <w:t>1.400đ</w:t>
            </w:r>
          </w:p>
          <w:p w14:paraId="0E5DF280" w14:textId="77777777" w:rsidR="00D6326F" w:rsidRDefault="00D6326F">
            <w:pPr>
              <w:spacing w:after="120"/>
              <w:jc w:val="center"/>
            </w:pPr>
            <w:r>
              <w:t> </w:t>
            </w:r>
          </w:p>
          <w:p w14:paraId="452CE347" w14:textId="77777777" w:rsidR="00D6326F" w:rsidRDefault="00D6326F">
            <w:pPr>
              <w:jc w:val="center"/>
            </w:pPr>
            <w:r>
              <w:t>1.200đ</w:t>
            </w:r>
          </w:p>
        </w:tc>
      </w:tr>
    </w:tbl>
    <w:p w14:paraId="41A8EA29" w14:textId="77777777" w:rsidR="00D6326F" w:rsidRDefault="00D6326F">
      <w:pPr>
        <w:spacing w:after="120"/>
      </w:pPr>
      <w:r>
        <w:lastRenderedPageBreak/>
        <w:t>Căn cứ theo mức ăn bồi dưỡng này Ban Giám đốc bệnh viện xét bệnh tình của cán bộ công nhân viên nặng nhẹ và tùy cấp bậc đã quy định trên mà áp dụng. Trừ trường hợp bệnh nhân quá trầm trọng xét thấy cần phải bồi dưỡng nhiều hơn để đảm bảo tính mệnh thì Y, Bác sĩ điều trị có thể đề nghị cho mức ăn bồi dưỡng cao hơn mức đã quy định trên trong thời gian ngắn cần thiết không kể loại cán bộ cấp nào. Tiền bồi dưỡng thêm ấy sẽ do cơ quan sử dụng người cán bộ đài thọ.</w:t>
      </w:r>
    </w:p>
    <w:p w14:paraId="082BF68C" w14:textId="77777777" w:rsidR="00D6326F" w:rsidRDefault="00D6326F">
      <w:pPr>
        <w:spacing w:after="120"/>
      </w:pPr>
      <w:r>
        <w:rPr>
          <w:b/>
          <w:bCs/>
        </w:rPr>
        <w:t>Thể thức thanh toán</w:t>
      </w:r>
    </w:p>
    <w:p w14:paraId="199E0F8F" w14:textId="77777777" w:rsidR="00D6326F" w:rsidRDefault="00D6326F">
      <w:pPr>
        <w:spacing w:after="120"/>
      </w:pPr>
      <w:r>
        <w:t>1) Các cơ quan có cán bộ đi nằm bệnh viện phải chịu trách nhiệm thanh toán kịp thời lương tháng cho cán bộ và tiền bồi dưỡng thuốc men cho viện.</w:t>
      </w:r>
    </w:p>
    <w:p w14:paraId="5FC7AB5A" w14:textId="77777777" w:rsidR="00D6326F" w:rsidRDefault="00D6326F">
      <w:pPr>
        <w:spacing w:after="120"/>
      </w:pPr>
      <w:r>
        <w:t>2) Các bệnh nhân tới viện đều phải nạp số tiền ăn theo quy định mình phải trả.</w:t>
      </w:r>
    </w:p>
    <w:p w14:paraId="0A0583B3" w14:textId="77777777" w:rsidR="00D6326F" w:rsidRDefault="00D6326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
        <w:gridCol w:w="9040"/>
      </w:tblGrid>
      <w:tr w:rsidR="00D6326F" w14:paraId="075DC59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9A2201" w14:textId="77777777" w:rsidR="00D6326F" w:rsidRDefault="00D6326F">
            <w:r>
              <w:lastRenderedPageBreak/>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1727C8" w14:textId="77777777" w:rsidR="00D6326F" w:rsidRDefault="00D6326F">
            <w:pPr>
              <w:jc w:val="center"/>
            </w:pPr>
            <w:r>
              <w:rPr>
                <w:b/>
                <w:bCs/>
              </w:rPr>
              <w:t>K.T. BỘ TRƯỞNG BỘ NỘI VỤ</w:t>
            </w:r>
            <w:r>
              <w:rPr>
                <w:b/>
                <w:bCs/>
              </w:rPr>
              <w:br/>
              <w:t>THỨ TRƯỞNG</w:t>
            </w:r>
            <w:r>
              <w:rPr>
                <w:b/>
                <w:bCs/>
              </w:rPr>
              <w:br/>
            </w:r>
            <w:r>
              <w:rPr>
                <w:b/>
                <w:bCs/>
              </w:rPr>
              <w:br/>
            </w:r>
            <w:r>
              <w:rPr>
                <w:b/>
                <w:bCs/>
              </w:rPr>
              <w:br/>
            </w:r>
            <w:r>
              <w:rPr>
                <w:b/>
                <w:bCs/>
              </w:rPr>
              <w:br/>
            </w:r>
            <w:r>
              <w:t> </w:t>
            </w:r>
            <w:r>
              <w:rPr>
                <w:b/>
                <w:bCs/>
              </w:rPr>
              <w:br/>
              <w:t>Phạm Văn Bạch</w:t>
            </w:r>
          </w:p>
        </w:tc>
      </w:tr>
    </w:tbl>
    <w:p w14:paraId="33726349" w14:textId="77777777" w:rsidR="00D6326F" w:rsidRDefault="00D6326F">
      <w:pPr>
        <w:spacing w:after="120"/>
      </w:pPr>
      <w:r>
        <w:t> </w:t>
      </w:r>
    </w:p>
    <w:sectPr w:rsidR="00D632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01"/>
    <w:rsid w:val="001B7F01"/>
    <w:rsid w:val="002D6355"/>
    <w:rsid w:val="007A50B1"/>
    <w:rsid w:val="00D632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9AFD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2585</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3032</CharactersWithSpaces>
  <SharedDoc>false</SharedDoc>
  <HyperlinkBase>http://vanbanphapluat.co/nghi-dinh-4173-pqc-quy-dinh-tam-thoi-che-do-boi-duong-cho-can-bo-cong-nhan-vien-dau-om-nam-o-benh-vien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2022-07-28T01:20:00Z</dcterms:created>
  <dcterms:modified xsi:type="dcterms:W3CDTF">2022-07-28T01:20:00Z</dcterms:modified>
</cp:coreProperties>
</file>