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7927C0" w14:paraId="6C6715C1"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7BBE069" w14:textId="77777777" w:rsidR="007927C0" w:rsidRDefault="007927C0">
            <w:pPr>
              <w:jc w:val="center"/>
            </w:pPr>
            <w:bookmarkStart w:id="0" w:name="_GoBack"/>
            <w:bookmarkEnd w:id="0"/>
            <w:r>
              <w:rPr>
                <w:b/>
                <w:bCs/>
              </w:rPr>
              <w:t>BỘ GIAO THÔNG VÀ BƯU ĐIỆN</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D9D08CA" w14:textId="77777777" w:rsidR="007927C0" w:rsidRDefault="007927C0">
            <w:pPr>
              <w:jc w:val="center"/>
            </w:pPr>
            <w:r>
              <w:rPr>
                <w:b/>
                <w:bCs/>
              </w:rPr>
              <w:t>VIỆT NAM DÂN CHỦ CỘNG HÒA</w:t>
            </w:r>
            <w:r>
              <w:rPr>
                <w:b/>
                <w:bCs/>
              </w:rPr>
              <w:br/>
              <w:t>Độc lập - Tự do - Hạnh phúc</w:t>
            </w:r>
            <w:r>
              <w:rPr>
                <w:b/>
                <w:bCs/>
              </w:rPr>
              <w:br/>
            </w:r>
            <w:r>
              <w:t xml:space="preserve">******** </w:t>
            </w:r>
          </w:p>
        </w:tc>
      </w:tr>
      <w:tr w:rsidR="007927C0" w14:paraId="11A4AF0E"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9BA8E4A" w14:textId="77777777" w:rsidR="007927C0" w:rsidRDefault="007927C0">
            <w:pPr>
              <w:jc w:val="center"/>
            </w:pPr>
            <w:r>
              <w:t xml:space="preserve">Số: 58-NĐ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4F18C6B" w14:textId="77777777" w:rsidR="007927C0" w:rsidRDefault="007927C0">
            <w:pPr>
              <w:jc w:val="right"/>
            </w:pPr>
            <w:r>
              <w:rPr>
                <w:i/>
                <w:iCs/>
              </w:rPr>
              <w:t>Hà Nội, ngày 31 tháng 08 năm 1958 </w:t>
            </w:r>
            <w:r>
              <w:t xml:space="preserve"> </w:t>
            </w:r>
          </w:p>
        </w:tc>
      </w:tr>
    </w:tbl>
    <w:p w14:paraId="75DC58D1" w14:textId="77777777" w:rsidR="007927C0" w:rsidRDefault="007927C0">
      <w:pPr>
        <w:spacing w:after="120"/>
        <w:jc w:val="center"/>
      </w:pPr>
      <w:r>
        <w:t> </w:t>
      </w:r>
    </w:p>
    <w:p w14:paraId="214834A0" w14:textId="77777777" w:rsidR="007927C0" w:rsidRDefault="007927C0">
      <w:pPr>
        <w:spacing w:after="120"/>
        <w:jc w:val="center"/>
      </w:pPr>
      <w:r>
        <w:rPr>
          <w:b/>
          <w:bCs/>
          <w:vanish/>
        </w:rPr>
        <w:t> </w:t>
      </w:r>
    </w:p>
    <w:p w14:paraId="6A17AAC6" w14:textId="77777777" w:rsidR="007927C0" w:rsidRDefault="007927C0">
      <w:pPr>
        <w:spacing w:after="120"/>
        <w:jc w:val="center"/>
      </w:pPr>
      <w:r>
        <w:rPr>
          <w:b/>
          <w:bCs/>
        </w:rPr>
        <w:t xml:space="preserve">NGHỊ ĐỊNH </w:t>
      </w:r>
    </w:p>
    <w:p w14:paraId="28FF672A" w14:textId="77777777" w:rsidR="007927C0" w:rsidRDefault="007927C0">
      <w:pPr>
        <w:spacing w:after="120"/>
        <w:jc w:val="center"/>
      </w:pPr>
      <w:r>
        <w:t>SỬA ĐỔI THỂ LỆ VỀ TÀU BUÔN RA VÀO CẢNG BAN HÀNH DO NGHỊ ĐỊNH SỐ 39-NĐ NGÀY 14-5-1958</w:t>
      </w:r>
    </w:p>
    <w:p w14:paraId="69258C0C" w14:textId="77777777" w:rsidR="007927C0" w:rsidRDefault="007927C0">
      <w:pPr>
        <w:spacing w:after="120"/>
        <w:jc w:val="center"/>
      </w:pPr>
      <w:r>
        <w:rPr>
          <w:b/>
          <w:bCs/>
        </w:rPr>
        <w:t>BỘ TRƯỞNG BỘ GIAO THÔNG VÀ BƯU ĐIỆN</w:t>
      </w:r>
    </w:p>
    <w:p w14:paraId="607AA7BC" w14:textId="77777777" w:rsidR="007927C0" w:rsidRDefault="007927C0">
      <w:pPr>
        <w:spacing w:after="120"/>
      </w:pPr>
      <w:r>
        <w:rPr>
          <w:i/>
          <w:iCs/>
        </w:rPr>
        <w:t>Căn cứ Nghị định của Bộ Giao thông và Bưu điện số 39-NĐ ngày 14-5-1958 ban hành bản thể lệ về tàu buôn ra vào cảng;</w:t>
      </w:r>
      <w:r>
        <w:rPr>
          <w:i/>
          <w:iCs/>
        </w:rPr>
        <w:br/>
        <w:t>Theo đề nghị của ông Giám đốc Cục Đường thủy;</w:t>
      </w:r>
    </w:p>
    <w:p w14:paraId="5C81CF68" w14:textId="77777777" w:rsidR="007927C0" w:rsidRDefault="007927C0">
      <w:pPr>
        <w:spacing w:after="120"/>
        <w:jc w:val="center"/>
      </w:pPr>
      <w:r>
        <w:rPr>
          <w:b/>
          <w:bCs/>
        </w:rPr>
        <w:t>NGHỊ ĐỊNH:</w:t>
      </w:r>
    </w:p>
    <w:p w14:paraId="7AFEA923" w14:textId="77777777" w:rsidR="007927C0" w:rsidRDefault="007927C0">
      <w:pPr>
        <w:spacing w:after="120"/>
      </w:pPr>
      <w:r>
        <w:rPr>
          <w:b/>
          <w:bCs/>
        </w:rPr>
        <w:t xml:space="preserve">Điều 1. </w:t>
      </w:r>
      <w:r>
        <w:t>– Nay thay thế điều 1 và điều 5 của bản Thể lệ về tàu buôn ra vào cảng bằng những điều dưới đây:</w:t>
      </w:r>
    </w:p>
    <w:p w14:paraId="16AB942F" w14:textId="77777777" w:rsidR="007927C0" w:rsidRDefault="007927C0">
      <w:pPr>
        <w:spacing w:after="120"/>
      </w:pPr>
      <w:r>
        <w:rPr>
          <w:i/>
          <w:iCs/>
        </w:rPr>
        <w:t xml:space="preserve">“Điều 1 (mới). </w:t>
      </w:r>
      <w:r>
        <w:t>– Tàu buôn ngoại quốc chỉ được ra vào bốn Cảng sau đây mở để thông thương với quốc tế:</w:t>
      </w:r>
    </w:p>
    <w:p w14:paraId="4F609B47" w14:textId="77777777" w:rsidR="007927C0" w:rsidRDefault="007927C0">
      <w:pPr>
        <w:spacing w:after="120"/>
      </w:pPr>
      <w:r>
        <w:t>- Cảng Hải-phòng</w:t>
      </w:r>
    </w:p>
    <w:p w14:paraId="4831C237" w14:textId="77777777" w:rsidR="007927C0" w:rsidRDefault="007927C0">
      <w:pPr>
        <w:spacing w:after="120"/>
      </w:pPr>
      <w:r>
        <w:t>- Cảng Hồi-gai</w:t>
      </w:r>
    </w:p>
    <w:p w14:paraId="37F4A680" w14:textId="77777777" w:rsidR="007927C0" w:rsidRDefault="007927C0">
      <w:pPr>
        <w:spacing w:after="120"/>
      </w:pPr>
      <w:r>
        <w:t>- Cảng Cẩm-phả</w:t>
      </w:r>
    </w:p>
    <w:p w14:paraId="3FA45344" w14:textId="77777777" w:rsidR="007927C0" w:rsidRDefault="007927C0">
      <w:pPr>
        <w:spacing w:after="120"/>
      </w:pPr>
      <w:r>
        <w:t>- Cảng Bến-thủy</w:t>
      </w:r>
    </w:p>
    <w:p w14:paraId="1E1B3E95" w14:textId="77777777" w:rsidR="007927C0" w:rsidRDefault="007927C0">
      <w:pPr>
        <w:spacing w:after="120"/>
      </w:pPr>
      <w:r>
        <w:t>Tàu Việt Nam, ngoài bốn cảng trên còn có thể được ra vào một số bến hay cửa biển khác do Cục Vận tải tài thủy đề nghị và do Bộ Giao thông và Bưu điện cho phép.</w:t>
      </w:r>
    </w:p>
    <w:p w14:paraId="163C9CAB" w14:textId="77777777" w:rsidR="007927C0" w:rsidRDefault="007927C0">
      <w:pPr>
        <w:spacing w:after="120"/>
      </w:pPr>
      <w:r>
        <w:t>Nếu vì tránh nạn hoặc vì một lý do tối cần thiết nào khác mà tàu buôn ngoại quốc bắt buộc phải vào một địa điểm khác, ngoài bốn cảng trên thì thuyền trưởng phải tìm cách báo ngay cho nhà chức trách địa phương biết để cơ quan có thẩm quyền đến xử lý tại chỗ và phải tuân theo những quyết định của các nhà chức trách đối với tàu, hành khách và hàng hóa”</w:t>
      </w:r>
    </w:p>
    <w:p w14:paraId="2E530AFD" w14:textId="77777777" w:rsidR="007927C0" w:rsidRDefault="007927C0">
      <w:pPr>
        <w:spacing w:after="120"/>
      </w:pPr>
      <w:r>
        <w:rPr>
          <w:i/>
          <w:iCs/>
        </w:rPr>
        <w:t>“Điều 5 (mới)</w:t>
      </w:r>
      <w:r>
        <w:t>. - Đối với tàu ngoại quốc đã được phép vào cảng, Công ty Đại lý tàu biển phải báo cho Cảng vụ biết ngày tàu khởi hành ở cảng cuốc cùng ở ngoại quốc để đi đến Việt Nam và ngày dự tính tàu sẽ tới cảng Việt Nam. Ngoài ra, Công ty Đại lý tàu biển phải báo ngày và giờ tàu đến địa điểm đón hoa tiêu hai lần nữa: một lần bốn mươi tám tiếng đồng hồ, một lần hai mươi bốn tiếng đồng hồ trước giờ tàu đến.</w:t>
      </w:r>
    </w:p>
    <w:p w14:paraId="42D94E99" w14:textId="77777777" w:rsidR="007927C0" w:rsidRDefault="007927C0">
      <w:pPr>
        <w:spacing w:after="120"/>
      </w:pPr>
      <w:r>
        <w:t>Đối với tàu Việt Nam ở ngoại quốc về, ngày giờ sẽ đến cảng phải báo hai lần, lần thứ nhất trước khi nhổ neo để về nước, lần thứ hai hai mươi bốn tiếng đồng hồ trước giờ tàu đến.</w:t>
      </w:r>
    </w:p>
    <w:p w14:paraId="25A91063" w14:textId="77777777" w:rsidR="007927C0" w:rsidRDefault="007927C0">
      <w:pPr>
        <w:spacing w:after="120"/>
      </w:pPr>
      <w:r>
        <w:t>Tàu Việt Nam đi lại ở trong nước, từ một cảng này đến một cảng khác chỉ báo một lần, hai tiếng đồng hồ trước trước giờ nhổ neo.</w:t>
      </w:r>
    </w:p>
    <w:p w14:paraId="61E66068" w14:textId="77777777" w:rsidR="007927C0" w:rsidRDefault="007927C0">
      <w:pPr>
        <w:spacing w:after="120"/>
      </w:pPr>
      <w:r>
        <w:rPr>
          <w:b/>
          <w:bCs/>
        </w:rPr>
        <w:lastRenderedPageBreak/>
        <w:t xml:space="preserve">Điều 2. </w:t>
      </w:r>
      <w:r>
        <w:t>– Các Ủy ban Hành chính các khu 3, 4, Hồng quảng, Tả ngạn, Ủy ban Hành chính tỉnh Hải ninh, Ủy ban Hành chính thành phố Hải phòng, các ông Chánh văn phòng Bộ Giao thông Bưu điện và Giám đốc Cục Đường thủy chịu trách nhiệm thi hành Nghị định này.</w:t>
      </w:r>
    </w:p>
    <w:p w14:paraId="5E0D69B2" w14:textId="77777777" w:rsidR="007927C0" w:rsidRDefault="007927C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3"/>
        <w:gridCol w:w="4644"/>
      </w:tblGrid>
      <w:tr w:rsidR="007927C0" w14:paraId="226E0845" w14:textId="77777777">
        <w:tc>
          <w:tcPr>
            <w:tcW w:w="4643" w:type="dxa"/>
            <w:tcBorders>
              <w:top w:val="nil"/>
              <w:left w:val="nil"/>
              <w:bottom w:val="nil"/>
              <w:right w:val="nil"/>
              <w:tl2br w:val="nil"/>
              <w:tr2bl w:val="nil"/>
            </w:tcBorders>
            <w:shd w:val="clear" w:color="auto" w:fill="auto"/>
            <w:tcMar>
              <w:top w:w="0" w:type="dxa"/>
              <w:left w:w="108" w:type="dxa"/>
              <w:bottom w:w="0" w:type="dxa"/>
              <w:right w:w="108" w:type="dxa"/>
            </w:tcMar>
          </w:tcPr>
          <w:p w14:paraId="439CAB6E" w14:textId="77777777" w:rsidR="007927C0" w:rsidRDefault="007927C0">
            <w: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6C6965A9" w14:textId="77777777" w:rsidR="007927C0" w:rsidRDefault="007927C0">
            <w:pPr>
              <w:jc w:val="center"/>
            </w:pPr>
            <w:r>
              <w:rPr>
                <w:b/>
                <w:bCs/>
              </w:rPr>
              <w:t>BỘ GIAO THÔNG VÀ BƯU ĐIỆN</w:t>
            </w:r>
            <w:r>
              <w:rPr>
                <w:b/>
                <w:bCs/>
              </w:rPr>
              <w:br/>
              <w:t>KT. BỘ TRƯỞNG</w:t>
            </w:r>
            <w:r>
              <w:br/>
            </w:r>
            <w:r>
              <w:rPr>
                <w:b/>
                <w:bCs/>
              </w:rPr>
              <w:t>THỨ TRƯỞNG</w:t>
            </w:r>
            <w:r>
              <w:br/>
            </w:r>
            <w:r>
              <w:rPr>
                <w:rFonts w:ascii="Arial" w:eastAsia="Arial" w:hAnsi="Arial" w:cs="Arial"/>
                <w:b/>
                <w:bCs/>
              </w:rPr>
              <w:br/>
            </w:r>
            <w:r>
              <w:rPr>
                <w:rFonts w:ascii="Arial" w:eastAsia="Arial" w:hAnsi="Arial" w:cs="Arial"/>
                <w:b/>
                <w:bCs/>
              </w:rPr>
              <w:br/>
            </w:r>
            <w:r>
              <w:rPr>
                <w:rFonts w:ascii="Arial" w:eastAsia="Arial" w:hAnsi="Arial" w:cs="Arial"/>
                <w:b/>
                <w:bCs/>
              </w:rPr>
              <w:br/>
            </w:r>
            <w:r>
              <w:rPr>
                <w:rFonts w:ascii="Arial" w:eastAsia="Arial" w:hAnsi="Arial" w:cs="Arial"/>
                <w:b/>
                <w:bCs/>
              </w:rPr>
              <w:br/>
              <w:t>Lê Dung</w:t>
            </w:r>
          </w:p>
        </w:tc>
      </w:tr>
    </w:tbl>
    <w:p w14:paraId="72400CEA" w14:textId="77777777" w:rsidR="007927C0" w:rsidRDefault="007927C0">
      <w:pPr>
        <w:spacing w:after="120"/>
      </w:pPr>
      <w:r>
        <w:t> </w:t>
      </w:r>
    </w:p>
    <w:sectPr w:rsidR="007927C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6B5"/>
    <w:rsid w:val="00243B79"/>
    <w:rsid w:val="007927C0"/>
    <w:rsid w:val="00FE76B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A134AD"/>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1939</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2275</CharactersWithSpaces>
  <SharedDoc>false</SharedDoc>
  <HyperlinkBase>http://vanbanphapluat.co/nghi-dinh-58-nd-tau-buon-ra-vao-cang-de-sua-doi-nghi-dinh-39-nd</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2022-07-28T06:45:00Z</dcterms:created>
  <dcterms:modified xsi:type="dcterms:W3CDTF">2022-07-28T06:45:00Z</dcterms:modified>
</cp:coreProperties>
</file>