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E590F" w14:paraId="3668DF1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64C576" w14:textId="77777777" w:rsidR="00AE590F" w:rsidRDefault="00AE590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F8307B" w14:textId="77777777" w:rsidR="00AE590F" w:rsidRDefault="00AE590F">
            <w:pPr>
              <w:jc w:val="center"/>
            </w:pPr>
            <w:r>
              <w:rPr>
                <w:b/>
                <w:bCs/>
              </w:rPr>
              <w:t>VIỆT NAM DÂN CHỦ CỘNG HÒA</w:t>
            </w:r>
            <w:r>
              <w:br/>
            </w:r>
            <w:r>
              <w:rPr>
                <w:b/>
                <w:bCs/>
              </w:rPr>
              <w:t>Độc lập - Tự do - Hạnh phúc</w:t>
            </w:r>
            <w:r>
              <w:rPr>
                <w:b/>
                <w:bCs/>
              </w:rPr>
              <w:br/>
            </w:r>
            <w:r>
              <w:t xml:space="preserve">******** </w:t>
            </w:r>
          </w:p>
        </w:tc>
      </w:tr>
      <w:tr w:rsidR="00AE590F" w14:paraId="13E5B29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0441BE5" w14:textId="77777777" w:rsidR="00AE590F" w:rsidRDefault="00AE590F">
            <w:pPr>
              <w:jc w:val="center"/>
            </w:pPr>
            <w:r>
              <w:t xml:space="preserve">Số: 84-CP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EF2184" w14:textId="77777777" w:rsidR="00AE590F" w:rsidRDefault="00AE590F">
            <w:pPr>
              <w:jc w:val="right"/>
            </w:pPr>
            <w:r>
              <w:rPr>
                <w:i/>
                <w:iCs/>
              </w:rPr>
              <w:t>Hà Nội, ngày 01 tháng 08 năm 1962 </w:t>
            </w:r>
            <w:r>
              <w:t xml:space="preserve"> </w:t>
            </w:r>
          </w:p>
        </w:tc>
      </w:tr>
    </w:tbl>
    <w:p w14:paraId="6E008159" w14:textId="77777777" w:rsidR="00AE590F" w:rsidRDefault="00AE590F">
      <w:pPr>
        <w:spacing w:after="120"/>
        <w:jc w:val="center"/>
      </w:pPr>
      <w:r>
        <w:rPr>
          <w:b/>
          <w:bCs/>
        </w:rPr>
        <w:t> </w:t>
      </w:r>
    </w:p>
    <w:p w14:paraId="246F2C45" w14:textId="77777777" w:rsidR="00AE590F" w:rsidRDefault="00AE590F">
      <w:pPr>
        <w:spacing w:after="120"/>
        <w:jc w:val="center"/>
      </w:pPr>
      <w:r>
        <w:rPr>
          <w:b/>
          <w:bCs/>
        </w:rPr>
        <w:t>NGHỊ ĐỊNH</w:t>
      </w:r>
    </w:p>
    <w:p w14:paraId="58020D22" w14:textId="77777777" w:rsidR="00AE590F" w:rsidRDefault="00AE590F">
      <w:pPr>
        <w:spacing w:after="120"/>
        <w:jc w:val="center"/>
      </w:pPr>
      <w:r>
        <w:t>VỀ VIỆC THU CƯỚC QUA PHÀ</w:t>
      </w:r>
    </w:p>
    <w:p w14:paraId="61BEC8C9" w14:textId="77777777" w:rsidR="00AE590F" w:rsidRDefault="00AE590F">
      <w:pPr>
        <w:spacing w:after="120"/>
        <w:jc w:val="center"/>
      </w:pPr>
      <w:r>
        <w:rPr>
          <w:b/>
          <w:bCs/>
        </w:rPr>
        <w:t> HỘI ĐỒNG CHÍNH PHỦ</w:t>
      </w:r>
    </w:p>
    <w:p w14:paraId="6F29B563" w14:textId="77777777" w:rsidR="00AE590F" w:rsidRDefault="00AE590F">
      <w:pPr>
        <w:spacing w:after="120"/>
      </w:pPr>
      <w:r>
        <w:rPr>
          <w:i/>
          <w:iCs/>
        </w:rPr>
        <w:t>Căn cứ vào tình hình phát triển giao thông vận tải hiện nay;</w:t>
      </w:r>
      <w:r>
        <w:rPr>
          <w:i/>
          <w:iCs/>
        </w:rPr>
        <w:br/>
        <w:t>Xét cách thu và mức thu cước qua phà quy định trong thông tư liên Bộ Giao thông – Bưu điện – Tài chính số 8014-P4 ngày 10-12-1956 hiện nay không còn thích hợp nữa;</w:t>
      </w:r>
      <w:r>
        <w:rPr>
          <w:i/>
          <w:iCs/>
        </w:rPr>
        <w:br/>
        <w:t>Theo đề nghị của các ông Bộ trưởng Bộ giao thông vận tải và Bộ tài chính;</w:t>
      </w:r>
      <w:r>
        <w:rPr>
          <w:i/>
          <w:iCs/>
        </w:rPr>
        <w:br/>
        <w:t>Căn cứ nghị quyết của Hội đồng Chính phủ trong phiên họp Hội nghị thường vụ của Hội đồng Chính phủ ngày 24-5-1962;</w:t>
      </w:r>
      <w:r>
        <w:t xml:space="preserve"> </w:t>
      </w:r>
    </w:p>
    <w:p w14:paraId="2E208629" w14:textId="77777777" w:rsidR="00AE590F" w:rsidRDefault="00AE590F">
      <w:pPr>
        <w:spacing w:after="120"/>
        <w:jc w:val="center"/>
      </w:pPr>
      <w:r>
        <w:rPr>
          <w:b/>
          <w:bCs/>
        </w:rPr>
        <w:t>NGHỊ ĐỊNH:</w:t>
      </w:r>
    </w:p>
    <w:p w14:paraId="30C79BA7" w14:textId="77777777" w:rsidR="00AE590F" w:rsidRDefault="00AE590F">
      <w:pPr>
        <w:spacing w:after="120"/>
      </w:pPr>
      <w:bookmarkStart w:id="1" w:name="dieu_1"/>
      <w:r>
        <w:rPr>
          <w:b/>
          <w:bCs/>
        </w:rPr>
        <w:t xml:space="preserve">Điều 1. – </w:t>
      </w:r>
      <w:r>
        <w:t>Kể từ ngày 1 tháng 8 năm 1962 cước qua phà sẽ thu theo những quy định của nghị định này.</w:t>
      </w:r>
      <w:bookmarkEnd w:id="1"/>
    </w:p>
    <w:p w14:paraId="74AB1774" w14:textId="77777777" w:rsidR="00AE590F" w:rsidRDefault="00AE590F">
      <w:pPr>
        <w:spacing w:after="120"/>
      </w:pPr>
      <w:bookmarkStart w:id="2" w:name="dieu_2"/>
      <w:r>
        <w:rPr>
          <w:b/>
          <w:bCs/>
        </w:rPr>
        <w:t>Điều 2.</w:t>
      </w:r>
      <w:r>
        <w:t xml:space="preserve"> - Người qua sông cũng như xe cộ, hàng hóa, súc vật chuyên chở qua sông bằng phà của Nhà nước đều phải trả cước qua phà, trừ những trường hợp được miễn dưới đây:</w:t>
      </w:r>
      <w:bookmarkEnd w:id="2"/>
    </w:p>
    <w:p w14:paraId="62AFA969" w14:textId="77777777" w:rsidR="00AE590F" w:rsidRDefault="00AE590F">
      <w:pPr>
        <w:spacing w:after="120"/>
      </w:pPr>
      <w:r>
        <w:t>a) Quân đội và xe của Quân đội hành quân (Quân đội nhân dân và Công an nhân dân vũ trang);</w:t>
      </w:r>
    </w:p>
    <w:p w14:paraId="08030D1F" w14:textId="77777777" w:rsidR="00AE590F" w:rsidRDefault="00AE590F">
      <w:pPr>
        <w:spacing w:after="120"/>
      </w:pPr>
      <w:r>
        <w:t>b) Xe cứu hỏa, xe hộ đê, xe cứu thương;</w:t>
      </w:r>
    </w:p>
    <w:p w14:paraId="781B07EB" w14:textId="77777777" w:rsidR="00AE590F" w:rsidRDefault="00AE590F">
      <w:pPr>
        <w:spacing w:after="120"/>
      </w:pPr>
      <w:r>
        <w:t>c) Xe của các cơ quan ngoại giao nước ngoài;</w:t>
      </w:r>
    </w:p>
    <w:p w14:paraId="400BC246" w14:textId="77777777" w:rsidR="00AE590F" w:rsidRDefault="00AE590F">
      <w:pPr>
        <w:spacing w:after="120"/>
      </w:pPr>
      <w:r>
        <w:t>d) Thương, bệnh binh;</w:t>
      </w:r>
    </w:p>
    <w:p w14:paraId="1E28D3AB" w14:textId="77777777" w:rsidR="00AE590F" w:rsidRDefault="00AE590F">
      <w:pPr>
        <w:spacing w:after="120"/>
      </w:pPr>
      <w:r>
        <w:t>e) Học sinh đi học hằng ngày bên này qua bên kia sông;</w:t>
      </w:r>
    </w:p>
    <w:p w14:paraId="1F4D119A" w14:textId="77777777" w:rsidR="00AE590F" w:rsidRDefault="00AE590F">
      <w:pPr>
        <w:spacing w:after="120"/>
      </w:pPr>
      <w:r>
        <w:t>g) Cán bộ xã, liên lạc xã ở các xã hai bên sông phải thường xuyên qua phà đi công tác;</w:t>
      </w:r>
    </w:p>
    <w:p w14:paraId="6AA9098C" w14:textId="77777777" w:rsidR="00AE590F" w:rsidRDefault="00AE590F">
      <w:pPr>
        <w:spacing w:after="120"/>
      </w:pPr>
      <w:r>
        <w:t>h) Dân quân tự vệ, đồng bào đi dự mít-tinh, hội họp từng đoàn từ mười người trở lên;</w:t>
      </w:r>
    </w:p>
    <w:p w14:paraId="71E0406F" w14:textId="77777777" w:rsidR="00AE590F" w:rsidRDefault="00AE590F">
      <w:pPr>
        <w:spacing w:after="120"/>
      </w:pPr>
      <w:r>
        <w:t>i) Dân công đi phục vụ;</w:t>
      </w:r>
    </w:p>
    <w:p w14:paraId="4314D6D6" w14:textId="77777777" w:rsidR="00AE590F" w:rsidRDefault="00AE590F">
      <w:pPr>
        <w:spacing w:after="120"/>
      </w:pPr>
      <w:r>
        <w:t>k) Cán bộ, công nhân cầu đường của các cung hạt, đoạn giao thông đi công tác thường xuyên</w:t>
      </w:r>
    </w:p>
    <w:p w14:paraId="1182BAF8" w14:textId="77777777" w:rsidR="00AE590F" w:rsidRDefault="00AE590F">
      <w:pPr>
        <w:spacing w:after="120"/>
      </w:pPr>
      <w:r>
        <w:t>l) Trẻ em dưới năm tuổi;</w:t>
      </w:r>
    </w:p>
    <w:p w14:paraId="5F4B6CCC" w14:textId="77777777" w:rsidR="00AE590F" w:rsidRDefault="00AE590F">
      <w:pPr>
        <w:spacing w:after="120"/>
      </w:pPr>
      <w:r>
        <w:t>m) Đồng bào ở các xã hai bên bến phà hàng ngày phải qua sông sản xuất, đi chợ, đi thăm bà con…;</w:t>
      </w:r>
    </w:p>
    <w:p w14:paraId="6B99AA7E" w14:textId="77777777" w:rsidR="00AE590F" w:rsidRDefault="00AE590F">
      <w:pPr>
        <w:spacing w:after="120"/>
      </w:pPr>
      <w:r>
        <w:t>n) Súc vật ở các xã hai bên phà thường xuyên phải chăn qua sông.</w:t>
      </w:r>
    </w:p>
    <w:p w14:paraId="012EA28E" w14:textId="77777777" w:rsidR="00AE590F" w:rsidRDefault="00AE590F">
      <w:pPr>
        <w:spacing w:after="120"/>
      </w:pPr>
      <w:r>
        <w:rPr>
          <w:b/>
          <w:bCs/>
        </w:rPr>
        <w:t>Điều 3.</w:t>
      </w:r>
      <w:r>
        <w:t xml:space="preserve"> – Giá cước qua phà quy định như sau cho từng chuyến qua phà:</w:t>
      </w:r>
      <w:r>
        <w:b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5"/>
        <w:gridCol w:w="1649"/>
        <w:gridCol w:w="862"/>
        <w:gridCol w:w="1261"/>
        <w:gridCol w:w="783"/>
      </w:tblGrid>
      <w:tr w:rsidR="00576CCA" w14:paraId="258253FC" w14:textId="77777777" w:rsidTr="00576CCA">
        <w:tc>
          <w:tcPr>
            <w:tcW w:w="526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EE1F2" w14:textId="77777777" w:rsidR="00AE590F" w:rsidRDefault="00AE590F">
            <w:pPr>
              <w:jc w:val="center"/>
            </w:pPr>
            <w:r>
              <w:t>HÀNG HÓA CHUYÊN CHỞ QUA PHÀ</w:t>
            </w:r>
          </w:p>
        </w:tc>
        <w:tc>
          <w:tcPr>
            <w:tcW w:w="178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F023E" w14:textId="77777777" w:rsidR="00AE590F" w:rsidRDefault="00AE590F">
            <w:pPr>
              <w:spacing w:after="120"/>
              <w:jc w:val="center"/>
            </w:pPr>
            <w:r>
              <w:t>ĐƠN VỊ</w:t>
            </w:r>
          </w:p>
          <w:p w14:paraId="6C95D72B" w14:textId="77777777" w:rsidR="00AE590F" w:rsidRDefault="00AE590F">
            <w:pPr>
              <w:jc w:val="center"/>
            </w:pPr>
            <w:r>
              <w:t>tính cước</w:t>
            </w:r>
          </w:p>
        </w:tc>
        <w:tc>
          <w:tcPr>
            <w:tcW w:w="3060"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C73DF" w14:textId="77777777" w:rsidR="00AE590F" w:rsidRDefault="00AE590F">
            <w:pPr>
              <w:jc w:val="center"/>
            </w:pPr>
            <w:r>
              <w:t xml:space="preserve">GIÁ CƯỚC QUA PHÀ </w:t>
            </w:r>
          </w:p>
        </w:tc>
      </w:tr>
      <w:tr w:rsidR="00AE590F" w14:paraId="69ABBC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DCA691" w14:textId="77777777" w:rsidR="00AE590F" w:rsidRDefault="00AE590F">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EECF1D" w14:textId="77777777" w:rsidR="00AE590F" w:rsidRDefault="00AE590F">
            <w:pPr>
              <w:jc w:val="center"/>
            </w:pPr>
          </w:p>
        </w:tc>
        <w:tc>
          <w:tcPr>
            <w:tcW w:w="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C351E" w14:textId="77777777" w:rsidR="00AE590F" w:rsidRDefault="00AE590F">
            <w:pPr>
              <w:jc w:val="center"/>
            </w:pPr>
            <w:r>
              <w:t xml:space="preserve">Bến </w:t>
            </w:r>
            <w:r>
              <w:lastRenderedPageBreak/>
              <w:t>500m</w:t>
            </w:r>
          </w:p>
        </w:tc>
        <w:tc>
          <w:tcPr>
            <w:tcW w:w="13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EB8D6" w14:textId="77777777" w:rsidR="00AE590F" w:rsidRDefault="00AE590F">
            <w:pPr>
              <w:spacing w:after="120"/>
              <w:jc w:val="center"/>
            </w:pPr>
            <w:r>
              <w:lastRenderedPageBreak/>
              <w:t>Bến</w:t>
            </w:r>
          </w:p>
          <w:p w14:paraId="6265A3CF" w14:textId="77777777" w:rsidR="00AE590F" w:rsidRDefault="00AE590F">
            <w:pPr>
              <w:jc w:val="center"/>
            </w:pPr>
            <w:r>
              <w:lastRenderedPageBreak/>
              <w:t>200-500m</w:t>
            </w:r>
          </w:p>
        </w:tc>
        <w:tc>
          <w:tcPr>
            <w:tcW w:w="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A33A2" w14:textId="77777777" w:rsidR="00AE590F" w:rsidRDefault="00AE590F">
            <w:pPr>
              <w:jc w:val="center"/>
            </w:pPr>
            <w:r>
              <w:lastRenderedPageBreak/>
              <w:t xml:space="preserve">Bến </w:t>
            </w:r>
            <w:r>
              <w:lastRenderedPageBreak/>
              <w:t>200m</w:t>
            </w:r>
          </w:p>
        </w:tc>
      </w:tr>
      <w:tr w:rsidR="00AE590F" w14:paraId="0FFEAAEF" w14:textId="77777777">
        <w:tblPrEx>
          <w:tblBorders>
            <w:top w:val="none" w:sz="0" w:space="0" w:color="auto"/>
            <w:bottom w:val="none" w:sz="0" w:space="0" w:color="auto"/>
            <w:insideH w:val="none" w:sz="0" w:space="0" w:color="auto"/>
            <w:insideV w:val="none" w:sz="0" w:space="0" w:color="auto"/>
          </w:tblBorders>
        </w:tblPrEx>
        <w:tc>
          <w:tcPr>
            <w:tcW w:w="52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09F9C" w14:textId="77777777" w:rsidR="00AE590F" w:rsidRDefault="00AE590F">
            <w:r>
              <w:lastRenderedPageBreak/>
              <w:t>a) Các loại xe ô-tô (xe không):</w:t>
            </w:r>
            <w:r>
              <w:br/>
              <w:t>- Xe ô-tô con (kể cả lái xe).</w:t>
            </w:r>
            <w:r>
              <w:br/>
              <w:t>- Xe ô-tô trọng tải dưới 2 tấn (kể cả lái và phụ xe).</w:t>
            </w:r>
            <w:r>
              <w:br/>
              <w:t>- Xe ô-tô trọng tải từ 2 tấn đến dưới 3 tấn (kể cả lái và phụ xe).</w:t>
            </w:r>
            <w:r>
              <w:br/>
              <w:t>- Xe ô-tô trọng tải từ 3T đến dưới 4T (kể cả lái và phụ xe).</w:t>
            </w:r>
            <w:r>
              <w:br/>
              <w:t>- Xe ô-tô trọng tải từ 4T đến dưới 5T (kể cả lái  và phụ xe).</w:t>
            </w:r>
            <w:r>
              <w:br/>
              <w:t>- Xe ô-tô trọng tải từ 5T đến dưới 6T (kể cả lái và phụ xe).</w:t>
            </w:r>
            <w:r>
              <w:br/>
              <w:t>- Xe ô-tô trọng tải từ 6T đến dưới 7T (kể cả lái và phụ xe).</w:t>
            </w:r>
            <w:r>
              <w:br/>
              <w:t>- Xe ô-tô trọng tải từ 7T trở lên.</w:t>
            </w:r>
            <w:r>
              <w:br/>
              <w:t> </w:t>
            </w:r>
            <w:r>
              <w:br/>
              <w:t>b) Các loại xe thô sơ (xe không) và xe máy:</w:t>
            </w:r>
            <w:r>
              <w:br/>
              <w:t>- Xe trâu, xe bò, xe ngựa (mỗi xe với mức tối đa hai súc vật và một người điều khiển xe).</w:t>
            </w:r>
            <w:r>
              <w:br/>
              <w:t>- Xe ba gác, xe mô-tô, xe xích lô (mỗi xe với một người kéo hoặc đi xe).</w:t>
            </w:r>
            <w:r>
              <w:br/>
              <w:t>- Xe đạp, xe đạp máy với một người đi xe.</w:t>
            </w:r>
            <w:r>
              <w:br/>
              <w:t>c) Súc vật (từ một đến 25 con được một người chăn dắt):</w:t>
            </w:r>
            <w:r>
              <w:br/>
              <w:t>- Trâu, bò, ngựa.</w:t>
            </w:r>
            <w:r>
              <w:br/>
              <w:t>- Bê, nghé,dê, cừu.</w:t>
            </w:r>
            <w:r>
              <w:br/>
              <w:t>d) Hành khách đi xe, bộ hành:</w:t>
            </w:r>
            <w:r>
              <w:br/>
              <w:t>- Người đi không hoặc có mang hàng hóa dưới 20 kg.</w:t>
            </w:r>
            <w:r>
              <w:br/>
              <w:t>- Người có mang theo hoặc gánh hàng hóa từ 20 kg trở lên</w:t>
            </w:r>
            <w:r>
              <w:br/>
              <w:t>e) Hàng hóa:</w:t>
            </w:r>
            <w:r>
              <w:br/>
              <w:t>- Hàng chở trên xe hoặc hàng đi riêng</w:t>
            </w:r>
          </w:p>
        </w:tc>
        <w:tc>
          <w:tcPr>
            <w:tcW w:w="1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819C3" w14:textId="77777777" w:rsidR="00AE590F" w:rsidRDefault="00AE590F">
            <w:pPr>
              <w:spacing w:after="120"/>
              <w:jc w:val="center"/>
            </w:pPr>
            <w:r>
              <w:t> </w:t>
            </w:r>
          </w:p>
          <w:p w14:paraId="7A610B81" w14:textId="77777777" w:rsidR="00AE590F" w:rsidRDefault="00AE590F">
            <w:pPr>
              <w:spacing w:after="120"/>
              <w:jc w:val="center"/>
            </w:pPr>
            <w:r>
              <w:t>1 xe</w:t>
            </w:r>
          </w:p>
          <w:p w14:paraId="78034082" w14:textId="77777777" w:rsidR="00AE590F" w:rsidRDefault="00AE590F">
            <w:pPr>
              <w:spacing w:after="120"/>
              <w:jc w:val="center"/>
            </w:pPr>
            <w:r>
              <w:t>1 –</w:t>
            </w:r>
          </w:p>
          <w:p w14:paraId="2FCEA3C1" w14:textId="77777777" w:rsidR="00AE590F" w:rsidRDefault="00AE590F">
            <w:pPr>
              <w:spacing w:after="120"/>
              <w:jc w:val="center"/>
            </w:pPr>
            <w:r>
              <w:t> </w:t>
            </w:r>
          </w:p>
          <w:p w14:paraId="256CE594" w14:textId="77777777" w:rsidR="00AE590F" w:rsidRDefault="00AE590F">
            <w:pPr>
              <w:spacing w:after="120"/>
              <w:jc w:val="center"/>
            </w:pPr>
            <w:r>
              <w:t>1 –</w:t>
            </w:r>
          </w:p>
          <w:p w14:paraId="5DB016A9" w14:textId="77777777" w:rsidR="00AE590F" w:rsidRDefault="00AE590F">
            <w:pPr>
              <w:spacing w:after="120"/>
              <w:jc w:val="center"/>
            </w:pPr>
            <w:r>
              <w:t> </w:t>
            </w:r>
          </w:p>
          <w:p w14:paraId="47623E91" w14:textId="77777777" w:rsidR="00AE590F" w:rsidRDefault="00AE590F">
            <w:pPr>
              <w:spacing w:after="120"/>
              <w:jc w:val="center"/>
            </w:pPr>
            <w:r>
              <w:t>1 –</w:t>
            </w:r>
          </w:p>
          <w:p w14:paraId="1F070D1B" w14:textId="77777777" w:rsidR="00AE590F" w:rsidRDefault="00AE590F">
            <w:pPr>
              <w:spacing w:after="120"/>
              <w:jc w:val="center"/>
            </w:pPr>
            <w:r>
              <w:t> </w:t>
            </w:r>
          </w:p>
          <w:p w14:paraId="6C8E82C6" w14:textId="77777777" w:rsidR="00AE590F" w:rsidRDefault="00AE590F">
            <w:pPr>
              <w:spacing w:after="120"/>
              <w:jc w:val="center"/>
            </w:pPr>
            <w:r>
              <w:t>1 –</w:t>
            </w:r>
          </w:p>
          <w:p w14:paraId="323BC816" w14:textId="77777777" w:rsidR="00AE590F" w:rsidRDefault="00AE590F">
            <w:pPr>
              <w:spacing w:after="120"/>
              <w:jc w:val="center"/>
            </w:pPr>
            <w:r>
              <w:t> </w:t>
            </w:r>
          </w:p>
          <w:p w14:paraId="3A77CC09" w14:textId="77777777" w:rsidR="00AE590F" w:rsidRDefault="00AE590F">
            <w:pPr>
              <w:spacing w:after="120"/>
              <w:jc w:val="center"/>
            </w:pPr>
            <w:r>
              <w:t>1 –</w:t>
            </w:r>
          </w:p>
          <w:p w14:paraId="20DB3928" w14:textId="77777777" w:rsidR="00AE590F" w:rsidRDefault="00AE590F">
            <w:pPr>
              <w:spacing w:after="120"/>
              <w:jc w:val="center"/>
            </w:pPr>
            <w:r>
              <w:t> </w:t>
            </w:r>
          </w:p>
          <w:p w14:paraId="152C7CBD" w14:textId="77777777" w:rsidR="00AE590F" w:rsidRDefault="00AE590F">
            <w:pPr>
              <w:spacing w:after="120"/>
              <w:jc w:val="center"/>
            </w:pPr>
            <w:r>
              <w:t>1 –</w:t>
            </w:r>
          </w:p>
          <w:p w14:paraId="66BA23E4" w14:textId="77777777" w:rsidR="00AE590F" w:rsidRDefault="00AE590F">
            <w:pPr>
              <w:spacing w:after="120"/>
              <w:jc w:val="center"/>
            </w:pPr>
            <w:r>
              <w:t> </w:t>
            </w:r>
          </w:p>
          <w:p w14:paraId="0DFFDBBD" w14:textId="77777777" w:rsidR="00AE590F" w:rsidRDefault="00AE590F">
            <w:pPr>
              <w:spacing w:after="120"/>
              <w:jc w:val="center"/>
            </w:pPr>
            <w:r>
              <w:t>Mỗi tấn thêm</w:t>
            </w:r>
          </w:p>
          <w:p w14:paraId="2B9DA971" w14:textId="77777777" w:rsidR="00AE590F" w:rsidRDefault="00AE590F">
            <w:pPr>
              <w:spacing w:after="120"/>
              <w:jc w:val="center"/>
            </w:pPr>
            <w:r>
              <w:t> </w:t>
            </w:r>
          </w:p>
          <w:p w14:paraId="5A7A2E57" w14:textId="77777777" w:rsidR="00AE590F" w:rsidRDefault="00AE590F">
            <w:pPr>
              <w:spacing w:after="120"/>
              <w:jc w:val="center"/>
            </w:pPr>
            <w:r>
              <w:t>1 xe</w:t>
            </w:r>
          </w:p>
          <w:p w14:paraId="1C5094BA" w14:textId="77777777" w:rsidR="00AE590F" w:rsidRDefault="00AE590F">
            <w:pPr>
              <w:spacing w:after="120"/>
              <w:jc w:val="center"/>
            </w:pPr>
            <w:r>
              <w:t> </w:t>
            </w:r>
          </w:p>
          <w:p w14:paraId="5A66643B" w14:textId="77777777" w:rsidR="00AE590F" w:rsidRDefault="00AE590F">
            <w:pPr>
              <w:spacing w:after="120"/>
              <w:jc w:val="center"/>
            </w:pPr>
            <w:r>
              <w:t>1 –</w:t>
            </w:r>
          </w:p>
          <w:p w14:paraId="25202246" w14:textId="77777777" w:rsidR="00AE590F" w:rsidRDefault="00AE590F">
            <w:pPr>
              <w:spacing w:after="120"/>
              <w:jc w:val="center"/>
            </w:pPr>
            <w:r>
              <w:t> </w:t>
            </w:r>
          </w:p>
          <w:p w14:paraId="5CCF8E0D" w14:textId="77777777" w:rsidR="00AE590F" w:rsidRDefault="00AE590F">
            <w:pPr>
              <w:spacing w:after="120"/>
              <w:jc w:val="center"/>
            </w:pPr>
            <w:r>
              <w:t>1 –</w:t>
            </w:r>
          </w:p>
          <w:p w14:paraId="21897286" w14:textId="77777777" w:rsidR="00AE590F" w:rsidRDefault="00AE590F">
            <w:pPr>
              <w:spacing w:after="120"/>
              <w:jc w:val="center"/>
            </w:pPr>
            <w:r>
              <w:t> </w:t>
            </w:r>
          </w:p>
          <w:p w14:paraId="30FB4470" w14:textId="77777777" w:rsidR="00AE590F" w:rsidRDefault="00AE590F">
            <w:pPr>
              <w:spacing w:after="120"/>
              <w:jc w:val="center"/>
            </w:pPr>
            <w:r>
              <w:t> </w:t>
            </w:r>
          </w:p>
          <w:p w14:paraId="327D5AA6" w14:textId="77777777" w:rsidR="00AE590F" w:rsidRDefault="00AE590F">
            <w:pPr>
              <w:spacing w:after="120"/>
              <w:jc w:val="center"/>
            </w:pPr>
            <w:r>
              <w:t>1 con</w:t>
            </w:r>
          </w:p>
          <w:p w14:paraId="0E0B639B" w14:textId="77777777" w:rsidR="00AE590F" w:rsidRDefault="00AE590F">
            <w:pPr>
              <w:spacing w:after="120"/>
              <w:jc w:val="center"/>
            </w:pPr>
            <w:r>
              <w:t>1 –</w:t>
            </w:r>
          </w:p>
          <w:p w14:paraId="65F8E7DB" w14:textId="77777777" w:rsidR="00AE590F" w:rsidRDefault="00AE590F">
            <w:pPr>
              <w:spacing w:after="120"/>
              <w:jc w:val="center"/>
            </w:pPr>
            <w:r>
              <w:t> </w:t>
            </w:r>
          </w:p>
          <w:p w14:paraId="18E39F64" w14:textId="77777777" w:rsidR="00AE590F" w:rsidRDefault="00AE590F">
            <w:pPr>
              <w:spacing w:after="120"/>
              <w:jc w:val="center"/>
            </w:pPr>
            <w:r>
              <w:t>1 người</w:t>
            </w:r>
          </w:p>
          <w:p w14:paraId="6F668934" w14:textId="77777777" w:rsidR="00AE590F" w:rsidRDefault="00AE590F">
            <w:pPr>
              <w:spacing w:after="120"/>
              <w:jc w:val="center"/>
            </w:pPr>
            <w:r>
              <w:t> </w:t>
            </w:r>
          </w:p>
          <w:p w14:paraId="4BAA93D7" w14:textId="77777777" w:rsidR="00AE590F" w:rsidRDefault="00AE590F">
            <w:pPr>
              <w:spacing w:after="120"/>
              <w:jc w:val="center"/>
            </w:pPr>
            <w:r>
              <w:t>1 người</w:t>
            </w:r>
          </w:p>
          <w:p w14:paraId="69F673FF" w14:textId="77777777" w:rsidR="00AE590F" w:rsidRDefault="00AE590F">
            <w:pPr>
              <w:spacing w:after="120"/>
              <w:jc w:val="center"/>
            </w:pPr>
            <w:r>
              <w:t> </w:t>
            </w:r>
          </w:p>
          <w:p w14:paraId="2ECCF61F" w14:textId="77777777" w:rsidR="00AE590F" w:rsidRDefault="00AE590F">
            <w:pPr>
              <w:spacing w:after="120"/>
              <w:jc w:val="center"/>
            </w:pPr>
            <w:r>
              <w:t> </w:t>
            </w:r>
          </w:p>
          <w:p w14:paraId="080AE01A" w14:textId="77777777" w:rsidR="00AE590F" w:rsidRDefault="00AE590F">
            <w:pPr>
              <w:jc w:val="center"/>
            </w:pPr>
            <w:r>
              <w:t>1 tạ</w:t>
            </w:r>
          </w:p>
        </w:tc>
        <w:tc>
          <w:tcPr>
            <w:tcW w:w="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3FAF2" w14:textId="77777777" w:rsidR="00AE590F" w:rsidRDefault="00AE590F">
            <w:pPr>
              <w:spacing w:after="120"/>
              <w:jc w:val="center"/>
            </w:pPr>
            <w:r>
              <w:t> </w:t>
            </w:r>
          </w:p>
          <w:p w14:paraId="5EFEE3EA" w14:textId="77777777" w:rsidR="00AE590F" w:rsidRDefault="00AE590F">
            <w:pPr>
              <w:spacing w:after="120"/>
              <w:jc w:val="center"/>
            </w:pPr>
            <w:r>
              <w:t>1đ50</w:t>
            </w:r>
          </w:p>
          <w:p w14:paraId="737A6537" w14:textId="77777777" w:rsidR="00AE590F" w:rsidRDefault="00AE590F">
            <w:pPr>
              <w:spacing w:after="120"/>
              <w:jc w:val="center"/>
            </w:pPr>
            <w:r>
              <w:t>2,30</w:t>
            </w:r>
          </w:p>
          <w:p w14:paraId="3989EDAF" w14:textId="77777777" w:rsidR="00AE590F" w:rsidRDefault="00AE590F">
            <w:pPr>
              <w:spacing w:after="120"/>
              <w:jc w:val="center"/>
            </w:pPr>
            <w:r>
              <w:t> </w:t>
            </w:r>
          </w:p>
          <w:p w14:paraId="7B703267" w14:textId="77777777" w:rsidR="00AE590F" w:rsidRDefault="00AE590F">
            <w:pPr>
              <w:spacing w:after="120"/>
              <w:jc w:val="center"/>
            </w:pPr>
            <w:r>
              <w:t>2,80</w:t>
            </w:r>
          </w:p>
          <w:p w14:paraId="1A4AA5D6" w14:textId="77777777" w:rsidR="00AE590F" w:rsidRDefault="00AE590F">
            <w:pPr>
              <w:spacing w:after="120"/>
              <w:jc w:val="center"/>
            </w:pPr>
            <w:r>
              <w:t> </w:t>
            </w:r>
          </w:p>
          <w:p w14:paraId="3CC8C581" w14:textId="77777777" w:rsidR="00AE590F" w:rsidRDefault="00AE590F">
            <w:pPr>
              <w:spacing w:after="120"/>
              <w:jc w:val="center"/>
            </w:pPr>
            <w:r>
              <w:t>3,60</w:t>
            </w:r>
          </w:p>
          <w:p w14:paraId="7D4DB9A1" w14:textId="77777777" w:rsidR="00AE590F" w:rsidRDefault="00AE590F">
            <w:pPr>
              <w:spacing w:after="120"/>
              <w:jc w:val="center"/>
            </w:pPr>
            <w:r>
              <w:t> </w:t>
            </w:r>
          </w:p>
          <w:p w14:paraId="29D7588A" w14:textId="77777777" w:rsidR="00AE590F" w:rsidRDefault="00AE590F">
            <w:pPr>
              <w:spacing w:after="120"/>
              <w:jc w:val="center"/>
            </w:pPr>
            <w:r>
              <w:t>4,20</w:t>
            </w:r>
          </w:p>
          <w:p w14:paraId="456C7422" w14:textId="77777777" w:rsidR="00AE590F" w:rsidRDefault="00AE590F">
            <w:pPr>
              <w:spacing w:after="120"/>
              <w:jc w:val="center"/>
            </w:pPr>
            <w:r>
              <w:t> </w:t>
            </w:r>
          </w:p>
          <w:p w14:paraId="6CB0198F" w14:textId="77777777" w:rsidR="00AE590F" w:rsidRDefault="00AE590F">
            <w:pPr>
              <w:spacing w:after="120"/>
              <w:jc w:val="center"/>
            </w:pPr>
            <w:r>
              <w:t>5,00</w:t>
            </w:r>
          </w:p>
          <w:p w14:paraId="3AD181A7" w14:textId="77777777" w:rsidR="00AE590F" w:rsidRDefault="00AE590F">
            <w:pPr>
              <w:spacing w:after="120"/>
              <w:jc w:val="center"/>
            </w:pPr>
            <w:r>
              <w:t> </w:t>
            </w:r>
          </w:p>
          <w:p w14:paraId="1267C381" w14:textId="77777777" w:rsidR="00AE590F" w:rsidRDefault="00AE590F">
            <w:pPr>
              <w:spacing w:after="120"/>
              <w:jc w:val="center"/>
            </w:pPr>
            <w:r>
              <w:t>5,60</w:t>
            </w:r>
          </w:p>
          <w:p w14:paraId="31C3EB8E" w14:textId="77777777" w:rsidR="00AE590F" w:rsidRDefault="00AE590F">
            <w:pPr>
              <w:spacing w:after="120"/>
              <w:jc w:val="center"/>
            </w:pPr>
            <w:r>
              <w:t> </w:t>
            </w:r>
          </w:p>
          <w:p w14:paraId="44306932" w14:textId="77777777" w:rsidR="00AE590F" w:rsidRDefault="00AE590F">
            <w:pPr>
              <w:spacing w:after="120"/>
              <w:jc w:val="center"/>
            </w:pPr>
            <w:r>
              <w:t>0,30</w:t>
            </w:r>
          </w:p>
          <w:p w14:paraId="10408F5D" w14:textId="77777777" w:rsidR="00AE590F" w:rsidRDefault="00AE590F">
            <w:pPr>
              <w:spacing w:after="120"/>
              <w:jc w:val="center"/>
            </w:pPr>
            <w:r>
              <w:t> </w:t>
            </w:r>
          </w:p>
          <w:p w14:paraId="17C8A15A" w14:textId="77777777" w:rsidR="00AE590F" w:rsidRDefault="00AE590F">
            <w:pPr>
              <w:spacing w:after="120"/>
              <w:jc w:val="center"/>
            </w:pPr>
            <w:r>
              <w:t> </w:t>
            </w:r>
          </w:p>
          <w:p w14:paraId="06E2C6E0" w14:textId="77777777" w:rsidR="00AE590F" w:rsidRDefault="00AE590F">
            <w:pPr>
              <w:spacing w:after="120"/>
              <w:jc w:val="center"/>
            </w:pPr>
            <w:r>
              <w:t>0,60</w:t>
            </w:r>
          </w:p>
          <w:p w14:paraId="44F4364C" w14:textId="77777777" w:rsidR="00AE590F" w:rsidRDefault="00AE590F">
            <w:pPr>
              <w:spacing w:after="120"/>
              <w:jc w:val="center"/>
            </w:pPr>
            <w:r>
              <w:t> </w:t>
            </w:r>
          </w:p>
          <w:p w14:paraId="67D3E0EB" w14:textId="77777777" w:rsidR="00AE590F" w:rsidRDefault="00AE590F">
            <w:pPr>
              <w:spacing w:after="120"/>
              <w:jc w:val="center"/>
            </w:pPr>
            <w:r>
              <w:t>0,20</w:t>
            </w:r>
          </w:p>
          <w:p w14:paraId="46687302" w14:textId="77777777" w:rsidR="00AE590F" w:rsidRDefault="00AE590F">
            <w:pPr>
              <w:spacing w:after="120"/>
              <w:jc w:val="center"/>
            </w:pPr>
            <w:r>
              <w:t> </w:t>
            </w:r>
          </w:p>
          <w:p w14:paraId="3010F330" w14:textId="77777777" w:rsidR="00AE590F" w:rsidRDefault="00AE590F">
            <w:pPr>
              <w:spacing w:after="120"/>
              <w:jc w:val="center"/>
            </w:pPr>
            <w:r>
              <w:t>0,10</w:t>
            </w:r>
          </w:p>
          <w:p w14:paraId="154E3BA7" w14:textId="77777777" w:rsidR="00AE590F" w:rsidRDefault="00AE590F">
            <w:pPr>
              <w:spacing w:after="120"/>
              <w:jc w:val="center"/>
            </w:pPr>
            <w:r>
              <w:t> </w:t>
            </w:r>
          </w:p>
          <w:p w14:paraId="75532685" w14:textId="77777777" w:rsidR="00AE590F" w:rsidRDefault="00AE590F">
            <w:pPr>
              <w:spacing w:after="120"/>
              <w:jc w:val="center"/>
            </w:pPr>
            <w:r>
              <w:t> </w:t>
            </w:r>
          </w:p>
          <w:p w14:paraId="11F9A6A5" w14:textId="77777777" w:rsidR="00AE590F" w:rsidRDefault="00AE590F">
            <w:pPr>
              <w:spacing w:after="120"/>
              <w:jc w:val="center"/>
            </w:pPr>
            <w:r>
              <w:t>0,20</w:t>
            </w:r>
          </w:p>
          <w:p w14:paraId="317AB1D4" w14:textId="77777777" w:rsidR="00AE590F" w:rsidRDefault="00AE590F">
            <w:pPr>
              <w:spacing w:after="120"/>
              <w:jc w:val="center"/>
            </w:pPr>
            <w:r>
              <w:t>0,10</w:t>
            </w:r>
          </w:p>
          <w:p w14:paraId="4B04DA19" w14:textId="77777777" w:rsidR="00AE590F" w:rsidRDefault="00AE590F">
            <w:pPr>
              <w:spacing w:after="120"/>
              <w:jc w:val="center"/>
            </w:pPr>
            <w:r>
              <w:t> </w:t>
            </w:r>
          </w:p>
          <w:p w14:paraId="142FC0E2" w14:textId="77777777" w:rsidR="00AE590F" w:rsidRDefault="00AE590F">
            <w:pPr>
              <w:spacing w:after="120"/>
              <w:jc w:val="center"/>
            </w:pPr>
            <w:r>
              <w:t>0,06</w:t>
            </w:r>
          </w:p>
          <w:p w14:paraId="070762BD" w14:textId="77777777" w:rsidR="00AE590F" w:rsidRDefault="00AE590F">
            <w:pPr>
              <w:spacing w:after="120"/>
              <w:jc w:val="center"/>
            </w:pPr>
            <w:r>
              <w:t> </w:t>
            </w:r>
          </w:p>
          <w:p w14:paraId="4163AED2" w14:textId="77777777" w:rsidR="00AE590F" w:rsidRDefault="00AE590F">
            <w:pPr>
              <w:spacing w:after="120"/>
              <w:jc w:val="center"/>
            </w:pPr>
            <w:r>
              <w:t>0,10</w:t>
            </w:r>
          </w:p>
          <w:p w14:paraId="2836970A" w14:textId="77777777" w:rsidR="00AE590F" w:rsidRDefault="00AE590F">
            <w:pPr>
              <w:spacing w:after="120"/>
              <w:jc w:val="center"/>
            </w:pPr>
            <w:r>
              <w:t> </w:t>
            </w:r>
          </w:p>
          <w:p w14:paraId="514D31EC" w14:textId="77777777" w:rsidR="00AE590F" w:rsidRDefault="00AE590F">
            <w:pPr>
              <w:spacing w:after="120"/>
              <w:jc w:val="center"/>
            </w:pPr>
            <w:r>
              <w:lastRenderedPageBreak/>
              <w:t> </w:t>
            </w:r>
          </w:p>
          <w:p w14:paraId="19811C07" w14:textId="77777777" w:rsidR="00AE590F" w:rsidRDefault="00AE590F">
            <w:pPr>
              <w:jc w:val="center"/>
            </w:pPr>
            <w:r>
              <w:t>0,06</w:t>
            </w:r>
          </w:p>
        </w:tc>
        <w:tc>
          <w:tcPr>
            <w:tcW w:w="13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D0499" w14:textId="77777777" w:rsidR="00AE590F" w:rsidRDefault="00AE590F">
            <w:pPr>
              <w:spacing w:after="120"/>
              <w:jc w:val="center"/>
            </w:pPr>
            <w:r>
              <w:lastRenderedPageBreak/>
              <w:t> </w:t>
            </w:r>
          </w:p>
          <w:p w14:paraId="39462312" w14:textId="77777777" w:rsidR="00AE590F" w:rsidRDefault="00AE590F">
            <w:pPr>
              <w:spacing w:after="120"/>
              <w:jc w:val="center"/>
            </w:pPr>
            <w:r>
              <w:t>0đ90</w:t>
            </w:r>
          </w:p>
          <w:p w14:paraId="52BC39F0" w14:textId="77777777" w:rsidR="00AE590F" w:rsidRDefault="00AE590F">
            <w:pPr>
              <w:spacing w:after="120"/>
              <w:jc w:val="center"/>
            </w:pPr>
            <w:r>
              <w:t>2,00</w:t>
            </w:r>
          </w:p>
          <w:p w14:paraId="1A078235" w14:textId="77777777" w:rsidR="00AE590F" w:rsidRDefault="00AE590F">
            <w:pPr>
              <w:spacing w:after="120"/>
              <w:jc w:val="center"/>
            </w:pPr>
            <w:r>
              <w:t> </w:t>
            </w:r>
          </w:p>
          <w:p w14:paraId="2D1AF2D0" w14:textId="77777777" w:rsidR="00AE590F" w:rsidRDefault="00AE590F">
            <w:pPr>
              <w:spacing w:after="120"/>
              <w:jc w:val="center"/>
            </w:pPr>
            <w:r>
              <w:t>2,50</w:t>
            </w:r>
          </w:p>
          <w:p w14:paraId="7DE1DAF1" w14:textId="77777777" w:rsidR="00AE590F" w:rsidRDefault="00AE590F">
            <w:pPr>
              <w:spacing w:after="120"/>
              <w:jc w:val="center"/>
            </w:pPr>
            <w:r>
              <w:t> </w:t>
            </w:r>
          </w:p>
          <w:p w14:paraId="5C995765" w14:textId="77777777" w:rsidR="00AE590F" w:rsidRDefault="00AE590F">
            <w:pPr>
              <w:spacing w:after="120"/>
              <w:jc w:val="center"/>
            </w:pPr>
            <w:r>
              <w:t>3,00</w:t>
            </w:r>
          </w:p>
          <w:p w14:paraId="01BAA3AC" w14:textId="77777777" w:rsidR="00AE590F" w:rsidRDefault="00AE590F">
            <w:pPr>
              <w:spacing w:after="120"/>
              <w:jc w:val="center"/>
            </w:pPr>
            <w:r>
              <w:t> </w:t>
            </w:r>
          </w:p>
          <w:p w14:paraId="7025B920" w14:textId="77777777" w:rsidR="00AE590F" w:rsidRDefault="00AE590F">
            <w:pPr>
              <w:spacing w:after="120"/>
              <w:jc w:val="center"/>
            </w:pPr>
            <w:r>
              <w:t>3,50</w:t>
            </w:r>
          </w:p>
          <w:p w14:paraId="723BF0F1" w14:textId="77777777" w:rsidR="00AE590F" w:rsidRDefault="00AE590F">
            <w:pPr>
              <w:spacing w:after="120"/>
              <w:jc w:val="center"/>
            </w:pPr>
            <w:r>
              <w:t> </w:t>
            </w:r>
          </w:p>
          <w:p w14:paraId="0097491D" w14:textId="77777777" w:rsidR="00AE590F" w:rsidRDefault="00AE590F">
            <w:pPr>
              <w:spacing w:after="120"/>
              <w:jc w:val="center"/>
            </w:pPr>
            <w:r>
              <w:t>4,00</w:t>
            </w:r>
          </w:p>
          <w:p w14:paraId="46DC7EE1" w14:textId="77777777" w:rsidR="00AE590F" w:rsidRDefault="00AE590F">
            <w:pPr>
              <w:spacing w:after="120"/>
              <w:jc w:val="center"/>
            </w:pPr>
            <w:r>
              <w:t> </w:t>
            </w:r>
          </w:p>
          <w:p w14:paraId="13FC5110" w14:textId="77777777" w:rsidR="00AE590F" w:rsidRDefault="00AE590F">
            <w:pPr>
              <w:spacing w:after="120"/>
              <w:jc w:val="center"/>
            </w:pPr>
            <w:r>
              <w:t>4,60</w:t>
            </w:r>
          </w:p>
          <w:p w14:paraId="51BE9127" w14:textId="77777777" w:rsidR="00AE590F" w:rsidRDefault="00AE590F">
            <w:pPr>
              <w:spacing w:after="120"/>
              <w:jc w:val="center"/>
            </w:pPr>
            <w:r>
              <w:t> </w:t>
            </w:r>
          </w:p>
          <w:p w14:paraId="16D363CE" w14:textId="77777777" w:rsidR="00AE590F" w:rsidRDefault="00AE590F">
            <w:pPr>
              <w:spacing w:after="120"/>
              <w:jc w:val="center"/>
            </w:pPr>
            <w:r>
              <w:t>0,30</w:t>
            </w:r>
          </w:p>
          <w:p w14:paraId="46A8991F" w14:textId="77777777" w:rsidR="00AE590F" w:rsidRDefault="00AE590F">
            <w:pPr>
              <w:spacing w:after="120"/>
              <w:jc w:val="center"/>
            </w:pPr>
            <w:r>
              <w:t> </w:t>
            </w:r>
          </w:p>
          <w:p w14:paraId="4D071872" w14:textId="77777777" w:rsidR="00AE590F" w:rsidRDefault="00AE590F">
            <w:pPr>
              <w:spacing w:after="120"/>
              <w:jc w:val="center"/>
            </w:pPr>
            <w:r>
              <w:t> </w:t>
            </w:r>
          </w:p>
          <w:p w14:paraId="2441B39E" w14:textId="77777777" w:rsidR="00AE590F" w:rsidRDefault="00AE590F">
            <w:pPr>
              <w:spacing w:after="120"/>
              <w:jc w:val="center"/>
            </w:pPr>
            <w:r>
              <w:t>0,40</w:t>
            </w:r>
          </w:p>
          <w:p w14:paraId="079484F3" w14:textId="77777777" w:rsidR="00AE590F" w:rsidRDefault="00AE590F">
            <w:pPr>
              <w:spacing w:after="120"/>
              <w:jc w:val="center"/>
            </w:pPr>
            <w:r>
              <w:t> </w:t>
            </w:r>
          </w:p>
          <w:p w14:paraId="67BD1BDE" w14:textId="77777777" w:rsidR="00AE590F" w:rsidRDefault="00AE590F">
            <w:pPr>
              <w:spacing w:after="120"/>
              <w:jc w:val="center"/>
            </w:pPr>
            <w:r>
              <w:t>0,15</w:t>
            </w:r>
          </w:p>
          <w:p w14:paraId="5CE2F953" w14:textId="77777777" w:rsidR="00AE590F" w:rsidRDefault="00AE590F">
            <w:pPr>
              <w:spacing w:after="120"/>
              <w:jc w:val="center"/>
            </w:pPr>
            <w:r>
              <w:t> </w:t>
            </w:r>
          </w:p>
          <w:p w14:paraId="0A83D1A7" w14:textId="77777777" w:rsidR="00AE590F" w:rsidRDefault="00AE590F">
            <w:pPr>
              <w:spacing w:after="120"/>
              <w:jc w:val="center"/>
            </w:pPr>
            <w:r>
              <w:t>0,08</w:t>
            </w:r>
          </w:p>
          <w:p w14:paraId="7E0EA7BD" w14:textId="77777777" w:rsidR="00AE590F" w:rsidRDefault="00AE590F">
            <w:pPr>
              <w:spacing w:after="120"/>
              <w:jc w:val="center"/>
            </w:pPr>
            <w:r>
              <w:t> </w:t>
            </w:r>
          </w:p>
          <w:p w14:paraId="13460715" w14:textId="77777777" w:rsidR="00AE590F" w:rsidRDefault="00AE590F">
            <w:pPr>
              <w:spacing w:after="120"/>
              <w:jc w:val="center"/>
            </w:pPr>
            <w:r>
              <w:t> </w:t>
            </w:r>
          </w:p>
          <w:p w14:paraId="008A6934" w14:textId="77777777" w:rsidR="00AE590F" w:rsidRDefault="00AE590F">
            <w:pPr>
              <w:spacing w:after="120"/>
              <w:jc w:val="center"/>
            </w:pPr>
            <w:r>
              <w:t>0,15</w:t>
            </w:r>
          </w:p>
          <w:p w14:paraId="58F2A8AF" w14:textId="77777777" w:rsidR="00AE590F" w:rsidRDefault="00AE590F">
            <w:pPr>
              <w:spacing w:after="120"/>
              <w:jc w:val="center"/>
            </w:pPr>
            <w:r>
              <w:t>0,08</w:t>
            </w:r>
          </w:p>
          <w:p w14:paraId="703E35A3" w14:textId="77777777" w:rsidR="00AE590F" w:rsidRDefault="00AE590F">
            <w:pPr>
              <w:spacing w:after="120"/>
              <w:jc w:val="center"/>
            </w:pPr>
            <w:r>
              <w:t> </w:t>
            </w:r>
          </w:p>
          <w:p w14:paraId="1D9CA162" w14:textId="77777777" w:rsidR="00AE590F" w:rsidRDefault="00AE590F">
            <w:pPr>
              <w:spacing w:after="120"/>
              <w:jc w:val="center"/>
            </w:pPr>
            <w:r>
              <w:t>0,04</w:t>
            </w:r>
          </w:p>
          <w:p w14:paraId="1CE7E71F" w14:textId="77777777" w:rsidR="00AE590F" w:rsidRDefault="00AE590F">
            <w:pPr>
              <w:spacing w:after="120"/>
              <w:jc w:val="center"/>
            </w:pPr>
            <w:r>
              <w:t> </w:t>
            </w:r>
          </w:p>
          <w:p w14:paraId="079A64C9" w14:textId="77777777" w:rsidR="00AE590F" w:rsidRDefault="00AE590F">
            <w:pPr>
              <w:spacing w:after="120"/>
              <w:jc w:val="center"/>
            </w:pPr>
            <w:r>
              <w:t>0,06</w:t>
            </w:r>
          </w:p>
          <w:p w14:paraId="4919224D" w14:textId="77777777" w:rsidR="00AE590F" w:rsidRDefault="00AE590F">
            <w:pPr>
              <w:spacing w:after="120"/>
              <w:jc w:val="center"/>
            </w:pPr>
            <w:r>
              <w:t> </w:t>
            </w:r>
          </w:p>
          <w:p w14:paraId="6445AF0D" w14:textId="77777777" w:rsidR="00AE590F" w:rsidRDefault="00AE590F">
            <w:pPr>
              <w:spacing w:after="120"/>
              <w:jc w:val="center"/>
            </w:pPr>
            <w:r>
              <w:lastRenderedPageBreak/>
              <w:t> </w:t>
            </w:r>
          </w:p>
          <w:p w14:paraId="60595FB6" w14:textId="77777777" w:rsidR="00AE590F" w:rsidRDefault="00AE590F">
            <w:pPr>
              <w:jc w:val="center"/>
            </w:pPr>
            <w:r>
              <w:t>0,04</w:t>
            </w:r>
          </w:p>
        </w:tc>
        <w:tc>
          <w:tcPr>
            <w:tcW w:w="8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9A8B9" w14:textId="77777777" w:rsidR="00AE590F" w:rsidRDefault="00AE590F">
            <w:pPr>
              <w:spacing w:after="120"/>
              <w:jc w:val="center"/>
            </w:pPr>
            <w:r>
              <w:lastRenderedPageBreak/>
              <w:t> </w:t>
            </w:r>
          </w:p>
          <w:p w14:paraId="708AB8B7" w14:textId="77777777" w:rsidR="00AE590F" w:rsidRDefault="00AE590F">
            <w:pPr>
              <w:spacing w:after="120"/>
              <w:jc w:val="center"/>
            </w:pPr>
            <w:r>
              <w:t>0đ60</w:t>
            </w:r>
          </w:p>
          <w:p w14:paraId="14DD39D2" w14:textId="77777777" w:rsidR="00AE590F" w:rsidRDefault="00AE590F">
            <w:pPr>
              <w:spacing w:after="120"/>
              <w:jc w:val="center"/>
            </w:pPr>
            <w:r>
              <w:t>1,30</w:t>
            </w:r>
          </w:p>
          <w:p w14:paraId="05FFF227" w14:textId="77777777" w:rsidR="00AE590F" w:rsidRDefault="00AE590F">
            <w:pPr>
              <w:spacing w:after="120"/>
              <w:jc w:val="center"/>
            </w:pPr>
            <w:r>
              <w:t> </w:t>
            </w:r>
          </w:p>
          <w:p w14:paraId="46F972DF" w14:textId="77777777" w:rsidR="00AE590F" w:rsidRDefault="00AE590F">
            <w:pPr>
              <w:spacing w:after="120"/>
              <w:jc w:val="center"/>
            </w:pPr>
            <w:r>
              <w:t>1,70</w:t>
            </w:r>
          </w:p>
          <w:p w14:paraId="6AB8B165" w14:textId="77777777" w:rsidR="00AE590F" w:rsidRDefault="00AE590F">
            <w:pPr>
              <w:spacing w:after="120"/>
              <w:jc w:val="center"/>
            </w:pPr>
            <w:r>
              <w:t> </w:t>
            </w:r>
          </w:p>
          <w:p w14:paraId="4A7A6E78" w14:textId="77777777" w:rsidR="00AE590F" w:rsidRDefault="00AE590F">
            <w:pPr>
              <w:spacing w:after="120"/>
              <w:jc w:val="center"/>
            </w:pPr>
            <w:r>
              <w:t>2,10</w:t>
            </w:r>
          </w:p>
          <w:p w14:paraId="55ECD852" w14:textId="77777777" w:rsidR="00AE590F" w:rsidRDefault="00AE590F">
            <w:pPr>
              <w:spacing w:after="120"/>
              <w:jc w:val="center"/>
            </w:pPr>
            <w:r>
              <w:t> </w:t>
            </w:r>
          </w:p>
          <w:p w14:paraId="7A339CC0" w14:textId="77777777" w:rsidR="00AE590F" w:rsidRDefault="00AE590F">
            <w:pPr>
              <w:spacing w:after="120"/>
              <w:jc w:val="center"/>
            </w:pPr>
            <w:r>
              <w:t>2,60</w:t>
            </w:r>
          </w:p>
          <w:p w14:paraId="29115F39" w14:textId="77777777" w:rsidR="00AE590F" w:rsidRDefault="00AE590F">
            <w:pPr>
              <w:spacing w:after="120"/>
              <w:jc w:val="center"/>
            </w:pPr>
            <w:r>
              <w:t> </w:t>
            </w:r>
          </w:p>
          <w:p w14:paraId="1A7ECFB9" w14:textId="77777777" w:rsidR="00AE590F" w:rsidRDefault="00AE590F">
            <w:pPr>
              <w:spacing w:after="120"/>
              <w:jc w:val="center"/>
            </w:pPr>
            <w:r>
              <w:t>3,10</w:t>
            </w:r>
          </w:p>
          <w:p w14:paraId="0DF3A0A9" w14:textId="77777777" w:rsidR="00AE590F" w:rsidRDefault="00AE590F">
            <w:pPr>
              <w:spacing w:after="120"/>
              <w:jc w:val="center"/>
            </w:pPr>
            <w:r>
              <w:t> </w:t>
            </w:r>
          </w:p>
          <w:p w14:paraId="56672C90" w14:textId="77777777" w:rsidR="00AE590F" w:rsidRDefault="00AE590F">
            <w:pPr>
              <w:spacing w:after="120"/>
              <w:jc w:val="center"/>
            </w:pPr>
            <w:r>
              <w:t>3,60</w:t>
            </w:r>
          </w:p>
          <w:p w14:paraId="4F2580DB" w14:textId="77777777" w:rsidR="00AE590F" w:rsidRDefault="00AE590F">
            <w:pPr>
              <w:spacing w:after="120"/>
              <w:jc w:val="center"/>
            </w:pPr>
            <w:r>
              <w:t> </w:t>
            </w:r>
          </w:p>
          <w:p w14:paraId="6CCD24A7" w14:textId="77777777" w:rsidR="00AE590F" w:rsidRDefault="00AE590F">
            <w:pPr>
              <w:spacing w:after="120"/>
              <w:jc w:val="center"/>
            </w:pPr>
            <w:r>
              <w:t>0,30</w:t>
            </w:r>
          </w:p>
          <w:p w14:paraId="1504055E" w14:textId="77777777" w:rsidR="00AE590F" w:rsidRDefault="00AE590F">
            <w:pPr>
              <w:spacing w:after="120"/>
              <w:jc w:val="center"/>
            </w:pPr>
            <w:r>
              <w:t> </w:t>
            </w:r>
          </w:p>
          <w:p w14:paraId="564EB3CD" w14:textId="77777777" w:rsidR="00AE590F" w:rsidRDefault="00AE590F">
            <w:pPr>
              <w:spacing w:after="120"/>
              <w:jc w:val="center"/>
            </w:pPr>
            <w:r>
              <w:t> </w:t>
            </w:r>
          </w:p>
          <w:p w14:paraId="24549258" w14:textId="77777777" w:rsidR="00AE590F" w:rsidRDefault="00AE590F">
            <w:pPr>
              <w:spacing w:after="120"/>
              <w:jc w:val="center"/>
            </w:pPr>
            <w:r>
              <w:t>0,20</w:t>
            </w:r>
          </w:p>
          <w:p w14:paraId="5B7F0FC3" w14:textId="77777777" w:rsidR="00AE590F" w:rsidRDefault="00AE590F">
            <w:pPr>
              <w:spacing w:after="120"/>
              <w:jc w:val="center"/>
            </w:pPr>
            <w:r>
              <w:t> </w:t>
            </w:r>
          </w:p>
          <w:p w14:paraId="348C84DB" w14:textId="77777777" w:rsidR="00AE590F" w:rsidRDefault="00AE590F">
            <w:pPr>
              <w:spacing w:after="120"/>
              <w:jc w:val="center"/>
            </w:pPr>
            <w:r>
              <w:t>0,10</w:t>
            </w:r>
          </w:p>
          <w:p w14:paraId="0DD1974F" w14:textId="77777777" w:rsidR="00AE590F" w:rsidRDefault="00AE590F">
            <w:pPr>
              <w:spacing w:after="120"/>
              <w:jc w:val="center"/>
            </w:pPr>
            <w:r>
              <w:t> </w:t>
            </w:r>
          </w:p>
          <w:p w14:paraId="3CA66BB2" w14:textId="77777777" w:rsidR="00AE590F" w:rsidRDefault="00AE590F">
            <w:pPr>
              <w:spacing w:after="120"/>
              <w:jc w:val="center"/>
            </w:pPr>
            <w:r>
              <w:t>0,05</w:t>
            </w:r>
          </w:p>
          <w:p w14:paraId="577E55C4" w14:textId="77777777" w:rsidR="00AE590F" w:rsidRDefault="00AE590F">
            <w:pPr>
              <w:spacing w:after="120"/>
              <w:jc w:val="center"/>
            </w:pPr>
            <w:r>
              <w:t> </w:t>
            </w:r>
          </w:p>
          <w:p w14:paraId="24AD32B2" w14:textId="77777777" w:rsidR="00AE590F" w:rsidRDefault="00AE590F">
            <w:pPr>
              <w:spacing w:after="120"/>
              <w:jc w:val="center"/>
            </w:pPr>
            <w:r>
              <w:t> </w:t>
            </w:r>
          </w:p>
          <w:p w14:paraId="237E9F1F" w14:textId="77777777" w:rsidR="00AE590F" w:rsidRDefault="00AE590F">
            <w:pPr>
              <w:spacing w:after="120"/>
              <w:jc w:val="center"/>
            </w:pPr>
            <w:r>
              <w:t>0,10</w:t>
            </w:r>
          </w:p>
          <w:p w14:paraId="4BAB348A" w14:textId="77777777" w:rsidR="00AE590F" w:rsidRDefault="00AE590F">
            <w:pPr>
              <w:spacing w:after="120"/>
              <w:jc w:val="center"/>
            </w:pPr>
            <w:r>
              <w:t>0,05</w:t>
            </w:r>
          </w:p>
          <w:p w14:paraId="020B6887" w14:textId="77777777" w:rsidR="00AE590F" w:rsidRDefault="00AE590F">
            <w:pPr>
              <w:spacing w:after="120"/>
              <w:jc w:val="center"/>
            </w:pPr>
            <w:r>
              <w:t> </w:t>
            </w:r>
          </w:p>
          <w:p w14:paraId="0AB5C715" w14:textId="77777777" w:rsidR="00AE590F" w:rsidRDefault="00AE590F">
            <w:pPr>
              <w:spacing w:after="120"/>
              <w:jc w:val="center"/>
            </w:pPr>
            <w:r>
              <w:t>0,02</w:t>
            </w:r>
          </w:p>
          <w:p w14:paraId="7AA32168" w14:textId="77777777" w:rsidR="00AE590F" w:rsidRDefault="00AE590F">
            <w:pPr>
              <w:spacing w:after="120"/>
              <w:jc w:val="center"/>
            </w:pPr>
            <w:r>
              <w:t> </w:t>
            </w:r>
          </w:p>
          <w:p w14:paraId="5F458D21" w14:textId="77777777" w:rsidR="00AE590F" w:rsidRDefault="00AE590F">
            <w:pPr>
              <w:spacing w:after="120"/>
              <w:jc w:val="center"/>
            </w:pPr>
            <w:r>
              <w:t>0,04</w:t>
            </w:r>
          </w:p>
          <w:p w14:paraId="0A440D5F" w14:textId="77777777" w:rsidR="00AE590F" w:rsidRDefault="00AE590F">
            <w:pPr>
              <w:spacing w:after="120"/>
              <w:jc w:val="center"/>
            </w:pPr>
            <w:r>
              <w:t> </w:t>
            </w:r>
          </w:p>
          <w:p w14:paraId="6FC1BBF1" w14:textId="77777777" w:rsidR="00AE590F" w:rsidRDefault="00AE590F">
            <w:pPr>
              <w:spacing w:after="120"/>
              <w:jc w:val="center"/>
            </w:pPr>
            <w:r>
              <w:lastRenderedPageBreak/>
              <w:t> </w:t>
            </w:r>
          </w:p>
          <w:p w14:paraId="765402DC" w14:textId="77777777" w:rsidR="00AE590F" w:rsidRDefault="00AE590F">
            <w:pPr>
              <w:jc w:val="center"/>
            </w:pPr>
            <w:r>
              <w:t>0,02</w:t>
            </w:r>
          </w:p>
        </w:tc>
      </w:tr>
    </w:tbl>
    <w:p w14:paraId="37F053CA" w14:textId="77777777" w:rsidR="00AE590F" w:rsidRDefault="00AE590F">
      <w:pPr>
        <w:spacing w:after="120"/>
      </w:pPr>
      <w:r>
        <w:lastRenderedPageBreak/>
        <w:t> </w:t>
      </w:r>
      <w:r>
        <w:br/>
      </w:r>
      <w:bookmarkStart w:id="3" w:name="dieu_4"/>
      <w:r>
        <w:rPr>
          <w:b/>
          <w:bCs/>
        </w:rPr>
        <w:t>Điều 4.</w:t>
      </w:r>
      <w:r>
        <w:t xml:space="preserve"> - Để khuyến khích việc dùng rơ-moóc, cước qua phà đối với rơ-moóc chở hàng cũng như rơ-moóc chở khách chỉ tính bằng 3/4 giá cước của xe ô-tô trọng tải tương đương.</w:t>
      </w:r>
      <w:bookmarkEnd w:id="3"/>
    </w:p>
    <w:p w14:paraId="19CB325E" w14:textId="77777777" w:rsidR="00AE590F" w:rsidRDefault="00AE590F">
      <w:pPr>
        <w:spacing w:after="120"/>
      </w:pPr>
      <w:r>
        <w:rPr>
          <w:b/>
          <w:bCs/>
        </w:rPr>
        <w:t>Điều 5.</w:t>
      </w:r>
      <w:r>
        <w:t xml:space="preserve"> – Các loại xe đặc biệt không có trọng tải (như xe cần trục, xe xúc đất, xe bánh xích, máy kéo) thì cước qua phà tùy theo trọng lượng của xe mà tính như giá cước đối với các loại xe có trọng tải, ví dụ một máy kéo nặng 3T5 thì giá cước tính như một xe ô-tô trọng tải 3T5…</w:t>
      </w:r>
    </w:p>
    <w:p w14:paraId="23580CA7" w14:textId="77777777" w:rsidR="00AE590F" w:rsidRDefault="00AE590F">
      <w:pPr>
        <w:spacing w:after="120"/>
      </w:pPr>
      <w:bookmarkStart w:id="4" w:name="dieu_6"/>
      <w:r>
        <w:rPr>
          <w:b/>
          <w:bCs/>
        </w:rPr>
        <w:t>Điều 6.</w:t>
      </w:r>
      <w:r>
        <w:t xml:space="preserve"> – Đối với Quân đội nhân dân và Công an nhân dân vũ trang, xe của Quân đội nhân dân và xe của Công an nhân dân vũ trang qua phà ngoài những lúc hành quân, các Bộ Giao thông vận tải, Tài chính, Quốc phòng, Công an sẽ nghiên cứu và quy định mức cước và cách trả cước qua phà riêng.</w:t>
      </w:r>
      <w:bookmarkEnd w:id="4"/>
    </w:p>
    <w:p w14:paraId="03EA279B" w14:textId="77777777" w:rsidR="00AE590F" w:rsidRDefault="00AE590F">
      <w:pPr>
        <w:spacing w:after="120"/>
      </w:pPr>
      <w:bookmarkStart w:id="5" w:name="dieu_7"/>
      <w:r>
        <w:rPr>
          <w:b/>
          <w:bCs/>
        </w:rPr>
        <w:t>Điều 7.</w:t>
      </w:r>
      <w:r>
        <w:t xml:space="preserve"> - Cước qua phà do Bộ Giao thông vận tải tổ chức thu. Phần thu ở các bến phà thuộc hệ thống đường quốc lộ thì nộp vào ngân sách trung ương, phần thu cước ở các bến phà thuộc hệ thống đường hàng tỉnh, thì nộp vào ngân sách địa phương.</w:t>
      </w:r>
      <w:bookmarkEnd w:id="5"/>
    </w:p>
    <w:p w14:paraId="48FE1CFB" w14:textId="77777777" w:rsidR="00AE590F" w:rsidRDefault="00AE590F">
      <w:pPr>
        <w:spacing w:after="120"/>
      </w:pPr>
      <w:r>
        <w:rPr>
          <w:b/>
          <w:bCs/>
        </w:rPr>
        <w:t>Điều 8.</w:t>
      </w:r>
      <w:r>
        <w:t xml:space="preserve"> - Nghị định này bãi bỏ thông tư của liên Bộ Giao thông Bưu điện và Tài chính số 8014-P4 ngày 10-12-1956.</w:t>
      </w:r>
    </w:p>
    <w:p w14:paraId="57AAA173" w14:textId="77777777" w:rsidR="00AE590F" w:rsidRDefault="00AE590F">
      <w:pPr>
        <w:spacing w:after="120"/>
      </w:pPr>
      <w:r>
        <w:rPr>
          <w:b/>
          <w:bCs/>
        </w:rPr>
        <w:t>Điều 9.</w:t>
      </w:r>
      <w:r>
        <w:t xml:space="preserve"> – Các ông Bộ trưởng Bộ Giao thông vận tải, Bộ Tài chính chịu trách nhiệm quy định chi tiết và hướng dẫn thi hành nghị định này.</w:t>
      </w:r>
    </w:p>
    <w:p w14:paraId="48009191" w14:textId="77777777" w:rsidR="00AE590F" w:rsidRDefault="00AE590F">
      <w:pPr>
        <w:spacing w:after="120"/>
      </w:pP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AE590F" w14:paraId="42C925D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DD4AE1" w14:textId="77777777" w:rsidR="00AE590F" w:rsidRDefault="00AE590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8E8676" w14:textId="77777777" w:rsidR="00AE590F" w:rsidRDefault="00AE590F">
            <w:pPr>
              <w:jc w:val="center"/>
            </w:pPr>
            <w:r>
              <w:rPr>
                <w:b/>
                <w:bCs/>
              </w:rPr>
              <w:t>TM. HỘI ĐỒNG CHÍNH PHỦ</w:t>
            </w:r>
            <w:r>
              <w:br/>
            </w:r>
            <w:r>
              <w:rPr>
                <w:b/>
                <w:bCs/>
              </w:rPr>
              <w:t>THỦ TƯỚNG CHÍNH PHỦ</w:t>
            </w:r>
            <w:r>
              <w:br/>
            </w:r>
            <w:r>
              <w:rPr>
                <w:b/>
                <w:bCs/>
              </w:rPr>
              <w:t> </w:t>
            </w:r>
            <w:r>
              <w:br/>
            </w:r>
            <w:r>
              <w:rPr>
                <w:b/>
                <w:bCs/>
              </w:rPr>
              <w:br/>
            </w:r>
            <w:r>
              <w:rPr>
                <w:b/>
                <w:bCs/>
              </w:rPr>
              <w:br/>
              <w:t> </w:t>
            </w:r>
            <w:r>
              <w:br/>
            </w:r>
            <w:r>
              <w:rPr>
                <w:b/>
                <w:bCs/>
              </w:rPr>
              <w:t>Phạm Văn Đồng</w:t>
            </w:r>
          </w:p>
        </w:tc>
      </w:tr>
    </w:tbl>
    <w:p w14:paraId="39BDCC86" w14:textId="77777777" w:rsidR="00AE590F" w:rsidRDefault="00AE590F">
      <w:pPr>
        <w:spacing w:after="120"/>
      </w:pPr>
      <w:r>
        <w:t> </w:t>
      </w:r>
    </w:p>
    <w:sectPr w:rsidR="00AE59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70"/>
    <w:rsid w:val="00576CCA"/>
    <w:rsid w:val="00AE590F"/>
    <w:rsid w:val="00E476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5378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4535</CharactersWithSpaces>
  <SharedDoc>false</SharedDoc>
  <HyperlinkBase>http://vanbanphapluat.co/nghi-dinh-84-cp-thu-cuoc-qua-pha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2022-07-28T10:24:00Z</dcterms:created>
  <dcterms:modified xsi:type="dcterms:W3CDTF">2022-07-28T10:24:00Z</dcterms:modified>
</cp:coreProperties>
</file>