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77AC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692228" w14:textId="77777777" w:rsidR="00000000" w:rsidRDefault="00000000">
            <w:pPr>
              <w:spacing w:before="120"/>
              <w:jc w:val="center"/>
            </w:pPr>
            <w:r>
              <w:rPr>
                <w:b/>
                <w:bCs/>
                <w:lang w:val="vi-VN"/>
              </w:rPr>
              <w:t>ỦY BAN NHÂN DÂN</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504BC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6ED9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1B7566" w14:textId="77777777" w:rsidR="00000000" w:rsidRDefault="00000000">
            <w:pPr>
              <w:spacing w:before="120"/>
              <w:jc w:val="center"/>
            </w:pPr>
            <w:r>
              <w:rPr>
                <w:lang w:val="vi-VN"/>
              </w:rPr>
              <w:t>Số: 3</w:t>
            </w:r>
            <w:r>
              <w:t>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73A432" w14:textId="77777777" w:rsidR="00000000" w:rsidRDefault="00000000">
            <w:pPr>
              <w:spacing w:before="120"/>
              <w:jc w:val="right"/>
            </w:pPr>
            <w:r>
              <w:rPr>
                <w:i/>
                <w:iCs/>
                <w:lang w:val="vi-VN"/>
              </w:rPr>
              <w:t>Đ</w:t>
            </w:r>
            <w:r>
              <w:rPr>
                <w:i/>
                <w:iCs/>
              </w:rPr>
              <w:t>ắ</w:t>
            </w:r>
            <w:r>
              <w:rPr>
                <w:i/>
                <w:iCs/>
                <w:lang w:val="vi-VN"/>
              </w:rPr>
              <w:t>k Nông, ngày 3</w:t>
            </w:r>
            <w:r>
              <w:rPr>
                <w:i/>
                <w:iCs/>
              </w:rPr>
              <w:t>0</w:t>
            </w:r>
            <w:r>
              <w:rPr>
                <w:i/>
                <w:iCs/>
                <w:lang w:val="vi-VN"/>
              </w:rPr>
              <w:t xml:space="preserve"> tháng </w:t>
            </w:r>
            <w:r>
              <w:rPr>
                <w:i/>
                <w:iCs/>
              </w:rPr>
              <w:t>9</w:t>
            </w:r>
            <w:r>
              <w:rPr>
                <w:i/>
                <w:iCs/>
                <w:lang w:val="vi-VN"/>
              </w:rPr>
              <w:t xml:space="preserve"> năm 2022</w:t>
            </w:r>
          </w:p>
        </w:tc>
      </w:tr>
    </w:tbl>
    <w:p w14:paraId="6F94F43C" w14:textId="77777777" w:rsidR="00000000" w:rsidRDefault="00000000">
      <w:pPr>
        <w:spacing w:before="120" w:after="280" w:afterAutospacing="1"/>
      </w:pPr>
      <w:r>
        <w:t> </w:t>
      </w:r>
    </w:p>
    <w:p w14:paraId="406A97E2" w14:textId="77777777" w:rsidR="00000000" w:rsidRDefault="00000000">
      <w:pPr>
        <w:spacing w:before="120" w:after="280" w:afterAutospacing="1"/>
        <w:jc w:val="center"/>
      </w:pPr>
      <w:r>
        <w:rPr>
          <w:b/>
          <w:bCs/>
          <w:lang w:val="vi-VN"/>
        </w:rPr>
        <w:t>QUYẾT ĐỊNH</w:t>
      </w:r>
    </w:p>
    <w:p w14:paraId="54519D21" w14:textId="77777777" w:rsidR="00000000" w:rsidRDefault="00000000">
      <w:pPr>
        <w:spacing w:before="120" w:after="280" w:afterAutospacing="1"/>
        <w:jc w:val="center"/>
      </w:pPr>
      <w:r>
        <w:rPr>
          <w:lang w:val="vi-VN"/>
        </w:rPr>
        <w:t>VỀ VIỆC QUY ĐỊNH GIÁ TÍNH LỆ PHÍ TRƯỚC BẠ ĐỐI VỚI NHÀ VÀ TỶ LỆ (%) CHẤT LƯỢNG CÒN LẠI CỦA NHÀ CHỊU LỆ PHÍ TRƯỚC BẠ TRÊN ĐỊA BÀN TỈNH ĐẮK NÔNG</w:t>
      </w:r>
    </w:p>
    <w:p w14:paraId="5A05E7A2" w14:textId="77777777" w:rsidR="00000000" w:rsidRDefault="00000000">
      <w:pPr>
        <w:spacing w:before="120" w:after="280" w:afterAutospacing="1"/>
        <w:jc w:val="center"/>
      </w:pPr>
      <w:r>
        <w:rPr>
          <w:b/>
          <w:bCs/>
          <w:lang w:val="vi-VN"/>
        </w:rPr>
        <w:t>ỦY BAN NHÂN DÂN TỈNH ĐẮK NÔNG</w:t>
      </w:r>
    </w:p>
    <w:p w14:paraId="2F941A3A" w14:textId="77777777" w:rsidR="00000000" w:rsidRDefault="00000000">
      <w:pPr>
        <w:spacing w:before="120" w:after="280" w:afterAutospacing="1"/>
      </w:pPr>
      <w:r>
        <w:rPr>
          <w:i/>
          <w:iCs/>
          <w:lang w:val="vi-VN"/>
        </w:rPr>
        <w:t>Căn cứ Luật Tổ chức chính quyền địa phương ngày 19 tháng 6 năm 2015;</w:t>
      </w:r>
    </w:p>
    <w:p w14:paraId="5FBEFDE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D1EA6A3" w14:textId="77777777" w:rsidR="00000000" w:rsidRDefault="00000000">
      <w:pPr>
        <w:spacing w:before="120" w:after="280" w:afterAutospacing="1"/>
      </w:pPr>
      <w:r>
        <w:rPr>
          <w:i/>
          <w:iCs/>
          <w:lang w:val="vi-VN"/>
        </w:rPr>
        <w:t>Căn cứ Luật ban hành văn bản quy phạm pháp luật ngày 22 tháng 6 năm 2015;</w:t>
      </w:r>
    </w:p>
    <w:p w14:paraId="5BEB8564"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56946C9" w14:textId="77777777" w:rsidR="00000000" w:rsidRDefault="00000000">
      <w:pPr>
        <w:spacing w:before="120" w:after="280" w:afterAutospacing="1"/>
      </w:pPr>
      <w:r>
        <w:rPr>
          <w:i/>
          <w:iCs/>
          <w:lang w:val="vi-VN"/>
        </w:rPr>
        <w:t>Căn cứ Luật Gi</w:t>
      </w:r>
      <w:r>
        <w:rPr>
          <w:i/>
          <w:iCs/>
        </w:rPr>
        <w:t>á</w:t>
      </w:r>
      <w:r>
        <w:rPr>
          <w:i/>
          <w:iCs/>
          <w:lang w:val="vi-VN"/>
        </w:rPr>
        <w:t xml:space="preserve"> ngày 20 tháng 6 năm 2012;</w:t>
      </w:r>
    </w:p>
    <w:p w14:paraId="62CD77B7" w14:textId="77777777" w:rsidR="00000000" w:rsidRDefault="00000000">
      <w:pPr>
        <w:spacing w:before="120" w:after="280" w:afterAutospacing="1"/>
      </w:pPr>
      <w:r>
        <w:rPr>
          <w:i/>
          <w:iCs/>
          <w:lang w:val="vi-VN"/>
        </w:rPr>
        <w:t>Căn cứ Luật Phí và lệ phí ngày 25 tháng 1</w:t>
      </w:r>
      <w:r>
        <w:rPr>
          <w:i/>
          <w:iCs/>
        </w:rPr>
        <w:t>1</w:t>
      </w:r>
      <w:r>
        <w:rPr>
          <w:i/>
          <w:iCs/>
          <w:lang w:val="vi-VN"/>
        </w:rPr>
        <w:t xml:space="preserve"> năm 2015;</w:t>
      </w:r>
    </w:p>
    <w:p w14:paraId="7F769A7E" w14:textId="77777777" w:rsidR="00000000" w:rsidRDefault="00000000">
      <w:pPr>
        <w:spacing w:before="120" w:after="280" w:afterAutospacing="1"/>
      </w:pPr>
      <w:r>
        <w:rPr>
          <w:i/>
          <w:iCs/>
          <w:lang w:val="vi-VN"/>
        </w:rPr>
        <w:t xml:space="preserve">Căn cứ Nghị định số </w:t>
      </w:r>
      <w:r>
        <w:rPr>
          <w:i/>
          <w:iCs/>
        </w:rPr>
        <w:t>1</w:t>
      </w:r>
      <w:r>
        <w:rPr>
          <w:i/>
          <w:iCs/>
          <w:lang w:val="vi-VN"/>
        </w:rPr>
        <w:t>0/2022/NĐ-CP ngày 15 tháng 01 năm 2022 của Chính phủ quy định về lệ phí trước bạ;</w:t>
      </w:r>
    </w:p>
    <w:p w14:paraId="0411CD03" w14:textId="77777777" w:rsidR="00000000" w:rsidRDefault="00000000">
      <w:pPr>
        <w:spacing w:before="120" w:after="280" w:afterAutospacing="1"/>
      </w:pPr>
      <w:r>
        <w:rPr>
          <w:i/>
          <w:iCs/>
          <w:lang w:val="vi-VN"/>
        </w:rPr>
        <w:t>Căn cứ Thông tư số 06/2021/TT-BXD ngày 30 tháng 6 năm 2021 của Bộ Xây dựng quy định về phân c</w:t>
      </w:r>
      <w:r>
        <w:rPr>
          <w:i/>
          <w:iCs/>
        </w:rPr>
        <w:t>ấ</w:t>
      </w:r>
      <w:r>
        <w:rPr>
          <w:i/>
          <w:iCs/>
          <w:lang w:val="vi-VN"/>
        </w:rPr>
        <w:t>p công trình xây dựng và hướng dẫn áp dụng trong quản lý hoạt động đầu tư xây dựng;</w:t>
      </w:r>
    </w:p>
    <w:p w14:paraId="39F29BAC" w14:textId="77777777" w:rsidR="00000000" w:rsidRDefault="00000000">
      <w:pPr>
        <w:spacing w:before="120" w:after="280" w:afterAutospacing="1"/>
      </w:pPr>
      <w:r>
        <w:rPr>
          <w:i/>
          <w:iCs/>
          <w:lang w:val="vi-VN"/>
        </w:rPr>
        <w:t>Căn cứ Thông tư số 13/2022/TT-BTC ngày 28 tháng 02 năm 2022 của Bộ Tài chính quy định chi tiết một số điều của N</w:t>
      </w:r>
      <w:r>
        <w:rPr>
          <w:i/>
          <w:iCs/>
        </w:rPr>
        <w:t>g</w:t>
      </w:r>
      <w:r>
        <w:rPr>
          <w:i/>
          <w:iCs/>
          <w:lang w:val="vi-VN"/>
        </w:rPr>
        <w:t>hị định số 10/2022/NĐ-CP ngày 15 tháng 01 năm 2022 của Chính phủ quy định về lệ phí trước bạ;</w:t>
      </w:r>
    </w:p>
    <w:p w14:paraId="2B4AD613" w14:textId="77777777" w:rsidR="00000000" w:rsidRDefault="00000000">
      <w:pPr>
        <w:spacing w:before="120" w:after="280" w:afterAutospacing="1"/>
      </w:pPr>
      <w:r>
        <w:rPr>
          <w:i/>
          <w:iCs/>
          <w:lang w:val="vi-VN"/>
        </w:rPr>
        <w:t>Theo đề nghị của Giám đốc Sở Tài chính tại Tờ trình số 79/TTr-STC ngày 2</w:t>
      </w:r>
      <w:r>
        <w:rPr>
          <w:i/>
          <w:iCs/>
        </w:rPr>
        <w:t>7</w:t>
      </w:r>
      <w:r>
        <w:rPr>
          <w:i/>
          <w:iCs/>
          <w:lang w:val="vi-VN"/>
        </w:rPr>
        <w:t xml:space="preserve"> tháng 7 năm 2022 và Báo cáo s</w:t>
      </w:r>
      <w:r>
        <w:rPr>
          <w:i/>
          <w:iCs/>
        </w:rPr>
        <w:t>ố</w:t>
      </w:r>
      <w:r>
        <w:rPr>
          <w:i/>
          <w:iCs/>
          <w:lang w:val="vi-VN"/>
        </w:rPr>
        <w:t xml:space="preserve"> 152/BC-STC ngày 05 tháng 9 năm 2022.</w:t>
      </w:r>
    </w:p>
    <w:p w14:paraId="71036068" w14:textId="77777777" w:rsidR="00000000" w:rsidRDefault="00000000">
      <w:pPr>
        <w:spacing w:before="120" w:after="280" w:afterAutospacing="1"/>
        <w:jc w:val="center"/>
      </w:pPr>
      <w:r>
        <w:rPr>
          <w:b/>
          <w:bCs/>
          <w:lang w:val="vi-VN"/>
        </w:rPr>
        <w:t>QUYẾT ĐỊNH:</w:t>
      </w:r>
    </w:p>
    <w:p w14:paraId="299656E4" w14:textId="77777777" w:rsidR="00000000" w:rsidRDefault="00000000">
      <w:pPr>
        <w:spacing w:before="120" w:after="280" w:afterAutospacing="1"/>
      </w:pPr>
      <w:r>
        <w:rPr>
          <w:b/>
          <w:bCs/>
          <w:lang w:val="vi-VN"/>
        </w:rPr>
        <w:t>Điều 1. Phạm vi điều chỉnh và đối tượng áp dụng</w:t>
      </w:r>
    </w:p>
    <w:p w14:paraId="07902BE5" w14:textId="77777777" w:rsidR="00000000" w:rsidRDefault="00000000">
      <w:pPr>
        <w:spacing w:before="120" w:after="280" w:afterAutospacing="1"/>
      </w:pPr>
      <w:r>
        <w:rPr>
          <w:lang w:val="vi-VN"/>
        </w:rPr>
        <w:lastRenderedPageBreak/>
        <w:t>1. Phạm vi điều chỉnh</w:t>
      </w:r>
    </w:p>
    <w:p w14:paraId="40F0931C" w14:textId="77777777" w:rsidR="00000000" w:rsidRDefault="00000000">
      <w:pPr>
        <w:spacing w:before="120" w:after="280" w:afterAutospacing="1"/>
      </w:pPr>
      <w:r>
        <w:rPr>
          <w:lang w:val="vi-VN"/>
        </w:rPr>
        <w:t>Quyết định này quy định giá tính lệ phí trước bạ đối với nhà và tỷ lệ (%) chất lượng còn lại của nhà chịu lệ phí trước bạ trên địa bàn tỉnh Đ</w:t>
      </w:r>
      <w:r>
        <w:t>ắ</w:t>
      </w:r>
      <w:r>
        <w:rPr>
          <w:lang w:val="vi-VN"/>
        </w:rPr>
        <w:t>k Nông.</w:t>
      </w:r>
    </w:p>
    <w:p w14:paraId="6848655F" w14:textId="77777777" w:rsidR="00000000" w:rsidRDefault="00000000">
      <w:pPr>
        <w:spacing w:before="120" w:after="280" w:afterAutospacing="1"/>
      </w:pPr>
      <w:r>
        <w:rPr>
          <w:lang w:val="vi-VN"/>
        </w:rPr>
        <w:t>2. Đối tượng áp dụng</w:t>
      </w:r>
    </w:p>
    <w:p w14:paraId="3C65E34D" w14:textId="77777777" w:rsidR="00000000" w:rsidRDefault="00000000">
      <w:pPr>
        <w:spacing w:before="120" w:after="280" w:afterAutospacing="1"/>
      </w:pPr>
      <w:r>
        <w:rPr>
          <w:lang w:val="vi-VN"/>
        </w:rPr>
        <w:t>a) Cục Thuế tỉnh, các Chi cục Thuế khu vực.</w:t>
      </w:r>
    </w:p>
    <w:p w14:paraId="2BCDC921" w14:textId="77777777" w:rsidR="00000000" w:rsidRDefault="00000000">
      <w:pPr>
        <w:spacing w:before="120" w:after="280" w:afterAutospacing="1"/>
      </w:pPr>
      <w:r>
        <w:rPr>
          <w:lang w:val="vi-VN"/>
        </w:rPr>
        <w:t>b) Tổ chức, cá nhân thuộc đối tượng nộp lệ phí trước bạ đối với nhà.</w:t>
      </w:r>
    </w:p>
    <w:p w14:paraId="10A9CDC2" w14:textId="77777777" w:rsidR="00000000" w:rsidRDefault="00000000">
      <w:pPr>
        <w:spacing w:before="120" w:after="280" w:afterAutospacing="1"/>
      </w:pPr>
      <w:r>
        <w:rPr>
          <w:lang w:val="vi-VN"/>
        </w:rPr>
        <w:t>c) Các tổ chức, cá nhân khác có liên quan.</w:t>
      </w:r>
    </w:p>
    <w:p w14:paraId="5D474BFD" w14:textId="77777777" w:rsidR="00000000" w:rsidRDefault="00000000">
      <w:pPr>
        <w:spacing w:before="120" w:after="280" w:afterAutospacing="1"/>
      </w:pPr>
      <w:r>
        <w:rPr>
          <w:b/>
          <w:bCs/>
          <w:lang w:val="vi-VN"/>
        </w:rPr>
        <w:t>Điều 2. Giá tính lệ phí trước bạ đối với nhà</w:t>
      </w:r>
    </w:p>
    <w:p w14:paraId="133B11D0" w14:textId="77777777" w:rsidR="00000000" w:rsidRDefault="00000000">
      <w:pPr>
        <w:spacing w:before="120" w:after="280" w:afterAutospacing="1"/>
      </w:pPr>
      <w:r>
        <w:rPr>
          <w:lang w:val="vi-VN"/>
        </w:rPr>
        <w:t>Giá tính lệ phí trước bạ đối với 01 mét vuông nhà được xác định theo từng cấp nhà,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5180"/>
        <w:gridCol w:w="3140"/>
      </w:tblGrid>
      <w:tr w:rsidR="00000000" w14:paraId="7DE5E69D" w14:textId="77777777">
        <w:tc>
          <w:tcPr>
            <w:tcW w:w="5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176D" w14:textId="77777777" w:rsidR="00000000" w:rsidRDefault="00000000">
            <w:pPr>
              <w:spacing w:before="120"/>
              <w:jc w:val="center"/>
            </w:pPr>
            <w:r>
              <w:rPr>
                <w:b/>
                <w:bCs/>
                <w:lang w:val="vi-VN"/>
              </w:rPr>
              <w:t>STT</w:t>
            </w:r>
          </w:p>
        </w:tc>
        <w:tc>
          <w:tcPr>
            <w:tcW w:w="2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99A5" w14:textId="77777777" w:rsidR="00000000" w:rsidRDefault="00000000">
            <w:pPr>
              <w:spacing w:before="120"/>
              <w:jc w:val="center"/>
            </w:pPr>
            <w:r>
              <w:rPr>
                <w:b/>
                <w:bCs/>
                <w:lang w:val="vi-VN"/>
              </w:rPr>
              <w:t>Loại nhà</w:t>
            </w:r>
          </w:p>
        </w:tc>
        <w:tc>
          <w:tcPr>
            <w:tcW w:w="1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421C" w14:textId="77777777" w:rsidR="00000000" w:rsidRDefault="00000000">
            <w:pPr>
              <w:spacing w:before="120"/>
              <w:jc w:val="center"/>
            </w:pPr>
            <w:r>
              <w:rPr>
                <w:b/>
                <w:bCs/>
                <w:lang w:val="vi-VN"/>
              </w:rPr>
              <w:t>Đơn giá (1.000 đồng/m</w:t>
            </w:r>
            <w:r>
              <w:rPr>
                <w:b/>
                <w:bCs/>
                <w:vertAlign w:val="superscript"/>
                <w:lang w:val="vi-VN"/>
              </w:rPr>
              <w:t>2</w:t>
            </w:r>
            <w:r>
              <w:rPr>
                <w:b/>
                <w:bCs/>
                <w:lang w:val="vi-VN"/>
              </w:rPr>
              <w:t>)</w:t>
            </w:r>
          </w:p>
        </w:tc>
      </w:tr>
      <w:tr w:rsidR="00000000" w14:paraId="1473364D"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08F2" w14:textId="77777777" w:rsidR="00000000" w:rsidRDefault="00000000">
            <w:pPr>
              <w:spacing w:before="120"/>
              <w:jc w:val="center"/>
            </w:pPr>
            <w:r>
              <w:rPr>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2C1F" w14:textId="77777777" w:rsidR="00000000" w:rsidRDefault="00000000">
            <w:pPr>
              <w:spacing w:before="120"/>
            </w:pPr>
            <w:r>
              <w:rPr>
                <w:lang w:val="vi-VN"/>
              </w:rPr>
              <w:t>Nhà cấp IV</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4CA5" w14:textId="77777777" w:rsidR="00000000" w:rsidRDefault="00000000">
            <w:pPr>
              <w:spacing w:before="120"/>
              <w:jc w:val="right"/>
            </w:pPr>
            <w:r>
              <w:rPr>
                <w:lang w:val="vi-VN"/>
              </w:rPr>
              <w:t> </w:t>
            </w:r>
          </w:p>
        </w:tc>
      </w:tr>
      <w:tr w:rsidR="00000000" w14:paraId="0840FA29"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F214" w14:textId="77777777" w:rsidR="00000000" w:rsidRDefault="00000000">
            <w:pPr>
              <w:spacing w:before="120"/>
              <w:jc w:val="center"/>
            </w:pPr>
            <w:r>
              <w:rPr>
                <w:lang w:val="vi-VN"/>
              </w:rPr>
              <w:t>1.1</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B564" w14:textId="77777777" w:rsidR="00000000" w:rsidRDefault="00000000">
            <w:pPr>
              <w:spacing w:before="120"/>
            </w:pPr>
            <w:r>
              <w:rPr>
                <w:lang w:val="vi-VN"/>
              </w:rPr>
              <w:t>Khung gỗ</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AC26" w14:textId="77777777" w:rsidR="00000000" w:rsidRDefault="00000000">
            <w:pPr>
              <w:spacing w:before="120"/>
              <w:jc w:val="right"/>
            </w:pPr>
            <w:r>
              <w:rPr>
                <w:lang w:val="vi-VN"/>
              </w:rPr>
              <w:t>2.760</w:t>
            </w:r>
          </w:p>
        </w:tc>
      </w:tr>
      <w:tr w:rsidR="00000000" w14:paraId="1D8780FD"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ADE4" w14:textId="77777777" w:rsidR="00000000" w:rsidRDefault="00000000">
            <w:pPr>
              <w:spacing w:before="120"/>
              <w:jc w:val="center"/>
            </w:pPr>
            <w:r>
              <w:rPr>
                <w:lang w:val="vi-VN"/>
              </w:rPr>
              <w:t>1.2</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EA1B" w14:textId="77777777" w:rsidR="00000000" w:rsidRDefault="00000000">
            <w:pPr>
              <w:spacing w:before="120"/>
            </w:pPr>
            <w:r>
              <w:rPr>
                <w:lang w:val="vi-VN"/>
              </w:rPr>
              <w:t>Xây gạch ống chịu lực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E554" w14:textId="77777777" w:rsidR="00000000" w:rsidRDefault="00000000">
            <w:pPr>
              <w:spacing w:before="120"/>
              <w:jc w:val="right"/>
            </w:pPr>
            <w:r>
              <w:rPr>
                <w:lang w:val="vi-VN"/>
              </w:rPr>
              <w:t>3.519</w:t>
            </w:r>
          </w:p>
        </w:tc>
      </w:tr>
      <w:tr w:rsidR="00000000" w14:paraId="7F721774"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2999" w14:textId="77777777" w:rsidR="00000000" w:rsidRDefault="00000000">
            <w:pPr>
              <w:spacing w:before="120"/>
              <w:jc w:val="center"/>
            </w:pPr>
            <w:r>
              <w:rPr>
                <w:lang w:val="vi-VN"/>
              </w:rPr>
              <w:t>1.3</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BB8F" w14:textId="77777777" w:rsidR="00000000" w:rsidRDefault="00000000">
            <w:pPr>
              <w:spacing w:before="120"/>
            </w:pPr>
            <w:r>
              <w:rPr>
                <w:lang w:val="vi-VN"/>
              </w:rPr>
              <w:t>Khung bê tông cốt thép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22DC" w14:textId="77777777" w:rsidR="00000000" w:rsidRDefault="00000000">
            <w:pPr>
              <w:spacing w:before="120"/>
              <w:jc w:val="right"/>
            </w:pPr>
            <w:r>
              <w:rPr>
                <w:lang w:val="vi-VN"/>
              </w:rPr>
              <w:t>4.659</w:t>
            </w:r>
          </w:p>
        </w:tc>
      </w:tr>
      <w:tr w:rsidR="00000000" w14:paraId="2807EACB"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AC8F" w14:textId="77777777" w:rsidR="00000000" w:rsidRDefault="00000000">
            <w:pPr>
              <w:spacing w:before="120"/>
              <w:jc w:val="center"/>
            </w:pPr>
            <w:r>
              <w:rPr>
                <w:lang w:val="vi-VN"/>
              </w:rPr>
              <w:t>1.4</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C7AF" w14:textId="77777777" w:rsidR="00000000" w:rsidRDefault="00000000">
            <w:pPr>
              <w:spacing w:before="120"/>
            </w:pPr>
            <w:r>
              <w:rPr>
                <w:lang w:val="vi-VN"/>
              </w:rPr>
              <w:t>Khung thép tiền chế và các loại nhà cấp IV c</w:t>
            </w:r>
            <w:r>
              <w:t xml:space="preserve">ó </w:t>
            </w:r>
            <w:r>
              <w:rPr>
                <w:lang w:val="vi-VN"/>
              </w:rPr>
              <w:t>kết cấu khác các loại trên (nhà xưởng, nhà kho...)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6755" w14:textId="77777777" w:rsidR="00000000" w:rsidRDefault="00000000">
            <w:pPr>
              <w:spacing w:before="120"/>
              <w:jc w:val="right"/>
            </w:pPr>
            <w:r>
              <w:rPr>
                <w:lang w:val="vi-VN"/>
              </w:rPr>
              <w:t>2.583</w:t>
            </w:r>
          </w:p>
        </w:tc>
      </w:tr>
      <w:tr w:rsidR="00000000" w14:paraId="6E4D4F00"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2917" w14:textId="77777777" w:rsidR="00000000" w:rsidRDefault="00000000">
            <w:pPr>
              <w:spacing w:before="120"/>
              <w:jc w:val="center"/>
            </w:pPr>
            <w:r>
              <w:rPr>
                <w:lang w:val="vi-VN"/>
              </w:rPr>
              <w:t>2</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2BCD" w14:textId="77777777" w:rsidR="00000000" w:rsidRDefault="00000000">
            <w:pPr>
              <w:spacing w:before="120"/>
            </w:pPr>
            <w:r>
              <w:rPr>
                <w:lang w:val="vi-VN"/>
              </w:rPr>
              <w:t>Nhà cấp III</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2625" w14:textId="77777777" w:rsidR="00000000" w:rsidRDefault="00000000">
            <w:pPr>
              <w:spacing w:before="120"/>
              <w:jc w:val="right"/>
            </w:pPr>
            <w:r>
              <w:rPr>
                <w:lang w:val="vi-VN"/>
              </w:rPr>
              <w:t>5.569</w:t>
            </w:r>
          </w:p>
        </w:tc>
      </w:tr>
      <w:tr w:rsidR="00000000" w14:paraId="1007251B" w14:textId="77777777">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B30E" w14:textId="77777777" w:rsidR="00000000" w:rsidRDefault="00000000">
            <w:pPr>
              <w:spacing w:before="120"/>
              <w:jc w:val="center"/>
            </w:pPr>
            <w:r>
              <w:rPr>
                <w:lang w:val="vi-VN"/>
              </w:rPr>
              <w:t>3</w:t>
            </w:r>
          </w:p>
        </w:tc>
        <w:tc>
          <w:tcPr>
            <w:tcW w:w="2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E3E5" w14:textId="77777777" w:rsidR="00000000" w:rsidRDefault="00000000">
            <w:pPr>
              <w:spacing w:before="120"/>
            </w:pPr>
            <w:r>
              <w:rPr>
                <w:lang w:val="vi-VN"/>
              </w:rPr>
              <w:t>Nhà cấp II</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B0CB" w14:textId="77777777" w:rsidR="00000000" w:rsidRDefault="00000000">
            <w:pPr>
              <w:spacing w:before="120"/>
              <w:jc w:val="right"/>
            </w:pPr>
            <w:r>
              <w:rPr>
                <w:lang w:val="vi-VN"/>
              </w:rPr>
              <w:t>7.632</w:t>
            </w:r>
          </w:p>
        </w:tc>
      </w:tr>
    </w:tbl>
    <w:p w14:paraId="7D27299D" w14:textId="77777777" w:rsidR="00000000" w:rsidRDefault="00000000">
      <w:pPr>
        <w:spacing w:before="120" w:after="280" w:afterAutospacing="1"/>
      </w:pPr>
      <w:r>
        <w:rPr>
          <w:b/>
          <w:bCs/>
          <w:lang w:val="vi-VN"/>
        </w:rPr>
        <w:t>Điều 3. Tỷ lệ (%) chất lượng còn lại của nhà chịu lệ phí trước bạ</w:t>
      </w:r>
    </w:p>
    <w:p w14:paraId="62745DB3" w14:textId="77777777" w:rsidR="00000000" w:rsidRDefault="00000000">
      <w:pPr>
        <w:spacing w:before="120" w:after="280" w:afterAutospacing="1"/>
      </w:pPr>
      <w:r>
        <w:rPr>
          <w:lang w:val="vi-VN"/>
        </w:rPr>
        <w:t>1. Tỷ lệ (%) chất lượng còn lại của nhà chịu lệ phí trước bạ được xác định cụ thể như sau:</w:t>
      </w:r>
    </w:p>
    <w:p w14:paraId="253B8B00" w14:textId="77777777" w:rsidR="00000000" w:rsidRDefault="00000000">
      <w:pPr>
        <w:spacing w:before="120" w:after="280" w:afterAutospacing="1"/>
      </w:pPr>
      <w:r>
        <w:rPr>
          <w:lang w:val="vi-VN"/>
        </w:rPr>
        <w:t>T</w:t>
      </w:r>
      <w:r>
        <w:t xml:space="preserve">ỷ </w:t>
      </w:r>
      <w:r>
        <w:rPr>
          <w:lang w:val="vi-VN"/>
        </w:rPr>
        <w:t xml:space="preserve">lệ (%) chất lượng còn lại của nhà chịu lệ phí trước bạ (%) = 100% - Thời gian đã sử dụng nhà (năm) </w:t>
      </w:r>
      <w:r>
        <w:t xml:space="preserve">x </w:t>
      </w:r>
      <w:r>
        <w:rPr>
          <w:lang w:val="vi-VN"/>
        </w:rPr>
        <w:t>Tỷ lệ hao mòn nhà theo từng cấp nhà (%/năm).</w:t>
      </w:r>
    </w:p>
    <w:p w14:paraId="785032D9" w14:textId="77777777" w:rsidR="00000000" w:rsidRDefault="00000000">
      <w:pPr>
        <w:spacing w:before="120" w:after="280" w:afterAutospacing="1"/>
      </w:pPr>
      <w:r>
        <w:rPr>
          <w:lang w:val="vi-VN"/>
        </w:rPr>
        <w:t>Trong đó:</w:t>
      </w:r>
    </w:p>
    <w:p w14:paraId="37BBA359" w14:textId="77777777" w:rsidR="00000000" w:rsidRDefault="00000000">
      <w:pPr>
        <w:spacing w:before="120" w:after="280" w:afterAutospacing="1"/>
      </w:pPr>
      <w:r>
        <w:rPr>
          <w:lang w:val="vi-VN"/>
        </w:rPr>
        <w:t>- Tỷ lệ hao mòn nhà theo từng cấp nhà được quy định cụ thể như sau:</w:t>
      </w:r>
    </w:p>
    <w:p w14:paraId="34765231" w14:textId="77777777" w:rsidR="00000000" w:rsidRDefault="00000000">
      <w:pPr>
        <w:spacing w:before="120" w:after="280" w:afterAutospacing="1"/>
      </w:pPr>
      <w:r>
        <w:rPr>
          <w:lang w:val="vi-VN"/>
        </w:rPr>
        <w:t>+ Tỷ lệ hao mòn đối với nhà cấp II: 2%/năm.</w:t>
      </w:r>
    </w:p>
    <w:p w14:paraId="3A3BF8DE" w14:textId="77777777" w:rsidR="00000000" w:rsidRDefault="00000000">
      <w:pPr>
        <w:spacing w:before="120" w:after="280" w:afterAutospacing="1"/>
      </w:pPr>
      <w:r>
        <w:rPr>
          <w:lang w:val="vi-VN"/>
        </w:rPr>
        <w:t>+ Tỷ lệ hao mòn đối với nhà cấp III: 4%/năm.</w:t>
      </w:r>
    </w:p>
    <w:p w14:paraId="29C73909" w14:textId="77777777" w:rsidR="00000000" w:rsidRDefault="00000000">
      <w:pPr>
        <w:spacing w:before="120" w:after="280" w:afterAutospacing="1"/>
      </w:pPr>
      <w:r>
        <w:rPr>
          <w:lang w:val="vi-VN"/>
        </w:rPr>
        <w:t>+ Tỷ lệ hao mòn đối với nhà cấp IV: 6,67%/năm</w:t>
      </w:r>
    </w:p>
    <w:p w14:paraId="5AE3E6AF" w14:textId="77777777" w:rsidR="00000000" w:rsidRDefault="00000000">
      <w:pPr>
        <w:spacing w:before="120" w:after="280" w:afterAutospacing="1"/>
      </w:pPr>
      <w:r>
        <w:rPr>
          <w:lang w:val="vi-VN"/>
        </w:rPr>
        <w:t xml:space="preserve">- Thời gian đã sử dụng của nhà được tính từ thời điểm xây dựng hoàn thành bàn giao nhà (hoặc đưa vào sử dụng) đến thời </w:t>
      </w:r>
      <w:r>
        <w:t>điể</w:t>
      </w:r>
      <w:r>
        <w:rPr>
          <w:lang w:val="vi-VN"/>
        </w:rPr>
        <w:t xml:space="preserve">m kê khai, nộp lệ phí trước bạ nhà đó. Trường hợp hồ sơ không đủ căn cứ xác định được năm xây dựng nhà thì người kê khai nộp lệ phí trước bạ tự xác định thời gian đã sử dụng của nhà, thực hiện kê khai và chịu </w:t>
      </w:r>
      <w:r>
        <w:t>tr</w:t>
      </w:r>
      <w:r>
        <w:rPr>
          <w:lang w:val="vi-VN"/>
        </w:rPr>
        <w:t>ách nhiệm trước pháp luật về nội dung kê khai của mình. Thời gian đã sử dụng của nhà được tính được tính theo năm (đủ 12 tháng). Trong trường hợp thời gian đã sử dụng của nhà có tháng lẻ ít h</w:t>
      </w:r>
      <w:r>
        <w:t xml:space="preserve">ơn </w:t>
      </w:r>
      <w:r>
        <w:rPr>
          <w:lang w:val="vi-VN"/>
        </w:rPr>
        <w:t>hoặc bằng 06 tháng được tính bằng 1/2 năm, trên 06 tháng được tính bằng 01 năm.</w:t>
      </w:r>
    </w:p>
    <w:p w14:paraId="7415AE4C" w14:textId="77777777" w:rsidR="00000000" w:rsidRDefault="00000000">
      <w:pPr>
        <w:spacing w:before="120" w:after="280" w:afterAutospacing="1"/>
      </w:pPr>
      <w:r>
        <w:rPr>
          <w:lang w:val="vi-VN"/>
        </w:rPr>
        <w:t>2. Việc xác định cấp, loại nhà thực hiện theo Thông tư số 06/2021/TT-BXD ngày 30 tháng 6 năm 2021 của Bộ Xây dựng quy định về phân cấp công trình xây dựng và hướng dẫn áp dụng trong quản lý hoạt động đầu tư xây dựng và hồ sơ pháp lý liên quan về nhà kèm theo hồ sơ kê khai của người nộp thuế. Cơ quan Thuế chủ trì thực hiện xác định cấp loại nhà để tính thuế trước bạ. Trường hợp không đủ cơ sở xác định cấp loại nhà để tính lệ phí trước bạ, Cục Thuế tỉnh chủ trì, phối hợp với Sở Xây dựng, Sở Tài chính xem xét, xác định cấp loại nhà theo quy định của pháp luật về xây dựng.</w:t>
      </w:r>
    </w:p>
    <w:p w14:paraId="7ECC9AEF" w14:textId="77777777" w:rsidR="00000000" w:rsidRDefault="00000000">
      <w:pPr>
        <w:spacing w:before="120" w:after="280" w:afterAutospacing="1"/>
      </w:pPr>
      <w:r>
        <w:rPr>
          <w:b/>
          <w:bCs/>
          <w:lang w:val="vi-VN"/>
        </w:rPr>
        <w:t>Điều 4. Điều khoản thi hành</w:t>
      </w:r>
    </w:p>
    <w:p w14:paraId="0A60B073" w14:textId="77777777" w:rsidR="00000000" w:rsidRDefault="00000000">
      <w:pPr>
        <w:spacing w:before="120" w:after="280" w:afterAutospacing="1"/>
      </w:pPr>
      <w:r>
        <w:rPr>
          <w:lang w:val="vi-VN"/>
        </w:rPr>
        <w:t>Quyết định này có hiệu lực thi hành kể từ ngày</w:t>
      </w:r>
      <w:r>
        <w:t xml:space="preserve"> 15 </w:t>
      </w:r>
      <w:r>
        <w:rPr>
          <w:lang w:val="vi-VN"/>
        </w:rPr>
        <w:t>tháng 10 năm 2022.</w:t>
      </w:r>
    </w:p>
    <w:p w14:paraId="3A5DD55D" w14:textId="77777777" w:rsidR="00000000" w:rsidRDefault="00000000">
      <w:pPr>
        <w:spacing w:before="120" w:after="280" w:afterAutospacing="1"/>
      </w:pPr>
      <w:r>
        <w:rPr>
          <w:lang w:val="vi-VN"/>
        </w:rPr>
        <w:t>Chánh Văn phòng UBND tỉnh; Giám đốc các Sở: Tài chính, Xây dựng; Cục trưởng Cục Thuế tỉnh; Chủ tịch UBND các huyện, thành phố; Thủ trưởng các cơ quan, đơn vị và cá nhân có liên quan chịu trách nhiệm thi hành Quyết định nà</w:t>
      </w:r>
      <w:r>
        <w:t>y./.</w:t>
      </w:r>
    </w:p>
    <w:p w14:paraId="3CCF235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7BAD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8C3A57"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Bộ Tài chính;</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UBMTTQVN tỉnh;</w:t>
            </w:r>
            <w:r>
              <w:rPr>
                <w:sz w:val="16"/>
                <w:lang w:val="vi-VN"/>
              </w:rPr>
              <w:br/>
              <w:t>- CT, các PCT UBND tỉnh;</w:t>
            </w:r>
            <w:r>
              <w:rPr>
                <w:sz w:val="16"/>
                <w:lang w:val="vi-VN"/>
              </w:rPr>
              <w:br/>
              <w:t>- Sở Tư pháp;</w:t>
            </w:r>
            <w:r>
              <w:rPr>
                <w:sz w:val="16"/>
                <w:lang w:val="vi-VN"/>
              </w:rPr>
              <w:br/>
              <w:t>- Đài Phát thanh và Truyền hình tỉnh;</w:t>
            </w:r>
            <w:r>
              <w:rPr>
                <w:sz w:val="16"/>
                <w:lang w:val="vi-VN"/>
              </w:rPr>
              <w:br/>
              <w:t>- Báo Đắk Nông;</w:t>
            </w:r>
            <w:r>
              <w:rPr>
                <w:sz w:val="16"/>
                <w:lang w:val="vi-VN"/>
              </w:rPr>
              <w:br/>
              <w:t>- Trung tâm lưu trữ - Sở Nội vụ;</w:t>
            </w:r>
            <w:r>
              <w:rPr>
                <w:sz w:val="16"/>
                <w:lang w:val="vi-VN"/>
              </w:rPr>
              <w:br/>
              <w:t>- Cổng Thông tin điện tử tỉnh;</w:t>
            </w:r>
            <w:r>
              <w:rPr>
                <w:sz w:val="16"/>
                <w:lang w:val="vi-VN"/>
              </w:rPr>
              <w:br/>
              <w:t>- Công báo tỉnh;</w:t>
            </w:r>
            <w:r>
              <w:rPr>
                <w:sz w:val="16"/>
                <w:lang w:val="vi-VN"/>
              </w:rPr>
              <w:br/>
              <w:t xml:space="preserve">- Lưu: VT, KT </w:t>
            </w:r>
            <w:r>
              <w:rPr>
                <w:sz w:val="16"/>
                <w:vertAlign w:val="subscript"/>
                <w:lang w:val="vi-VN"/>
              </w:rPr>
              <w:t>(</w:t>
            </w:r>
            <w:r>
              <w:rPr>
                <w:vertAlign w:val="subscript"/>
              </w:rPr>
              <w:t>KV</w:t>
            </w:r>
            <w:r>
              <w:rPr>
                <w:vertAlign w:val="subscript"/>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7051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Văn Chiến</w:t>
            </w:r>
          </w:p>
        </w:tc>
      </w:tr>
    </w:tbl>
    <w:p w14:paraId="40AAE088" w14:textId="77777777" w:rsidR="002F35E2" w:rsidRDefault="00000000">
      <w:pPr>
        <w:spacing w:before="120" w:after="280" w:afterAutospacing="1"/>
      </w:pPr>
      <w:r>
        <w:t> </w:t>
      </w:r>
    </w:p>
    <w:sectPr w:rsidR="002F35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83"/>
    <w:rsid w:val="002F35E2"/>
    <w:rsid w:val="00881D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362E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2022-10-05T09:33:00Z</dcterms:created>
  <dcterms:modified xsi:type="dcterms:W3CDTF">2022-10-05T09:33:00Z</dcterms:modified>
</cp:coreProperties>
</file>