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52033" w14:textId="77777777" w:rsidR="00810493" w:rsidRPr="00810493" w:rsidRDefault="00810493" w:rsidP="00810493">
      <w:pPr>
        <w:widowControl w:val="0"/>
        <w:spacing w:before="120" w:after="120" w:line="240" w:lineRule="auto"/>
        <w:jc w:val="right"/>
        <w:rPr>
          <w:rFonts w:eastAsia="DejaVu Sans Condensed" w:cs="Times New Roman"/>
          <w:b/>
          <w:color w:val="000000"/>
          <w:sz w:val="24"/>
          <w:szCs w:val="32"/>
          <w:lang w:eastAsia="vi-VN"/>
        </w:rPr>
      </w:pPr>
      <w:r w:rsidRPr="00810493">
        <w:rPr>
          <w:rFonts w:eastAsia="DejaVu Sans Condensed" w:cs="Times New Roman"/>
          <w:b/>
          <w:color w:val="000000"/>
          <w:sz w:val="24"/>
          <w:szCs w:val="32"/>
          <w:lang w:val="vi-VN" w:eastAsia="vi-VN"/>
        </w:rPr>
        <w:t>M</w:t>
      </w:r>
      <w:r w:rsidRPr="00810493">
        <w:rPr>
          <w:rFonts w:eastAsia="DejaVu Sans Condensed" w:cs="Times New Roman"/>
          <w:b/>
          <w:color w:val="000000"/>
          <w:sz w:val="24"/>
          <w:szCs w:val="32"/>
          <w:lang w:eastAsia="vi-VN"/>
        </w:rPr>
        <w:t>ẫ</w:t>
      </w:r>
      <w:r w:rsidRPr="00810493">
        <w:rPr>
          <w:rFonts w:eastAsia="DejaVu Sans Condensed" w:cs="Times New Roman"/>
          <w:b/>
          <w:color w:val="000000"/>
          <w:sz w:val="24"/>
          <w:szCs w:val="32"/>
          <w:lang w:val="vi-VN" w:eastAsia="vi-VN"/>
        </w:rPr>
        <w:t>u số 02/TSC-ĐA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5537"/>
      </w:tblGrid>
      <w:tr w:rsidR="00810493" w:rsidRPr="00810493" w14:paraId="2F3FCC16" w14:textId="77777777" w:rsidTr="003B6145">
        <w:tc>
          <w:tcPr>
            <w:tcW w:w="2222" w:type="pct"/>
          </w:tcPr>
          <w:p w14:paraId="7E80EABD" w14:textId="77777777" w:rsidR="00810493" w:rsidRPr="00810493" w:rsidRDefault="00810493" w:rsidP="00810493">
            <w:pPr>
              <w:widowControl w:val="0"/>
              <w:spacing w:before="120" w:after="120"/>
              <w:jc w:val="center"/>
              <w:rPr>
                <w:rFonts w:eastAsia="DejaVu Sans Condensed"/>
                <w:b/>
                <w:color w:val="000000"/>
                <w:sz w:val="24"/>
                <w:szCs w:val="24"/>
              </w:rPr>
            </w:pPr>
            <w:r w:rsidRPr="00810493">
              <w:rPr>
                <w:rFonts w:eastAsia="DejaVu Sans Condensed"/>
                <w:color w:val="000000"/>
                <w:sz w:val="24"/>
                <w:szCs w:val="24"/>
              </w:rPr>
              <w:t>TÊN CƠ QUAN CHỦ QUẢN</w:t>
            </w:r>
            <w:r w:rsidRPr="00810493">
              <w:rPr>
                <w:rFonts w:eastAsia="DejaVu Sans Condensed"/>
                <w:b/>
                <w:color w:val="000000"/>
                <w:sz w:val="24"/>
                <w:szCs w:val="24"/>
              </w:rPr>
              <w:br/>
              <w:t>TÊN ĐƠN VỊ SỰ NGHIỆP CÔNG LẬP</w:t>
            </w:r>
            <w:r w:rsidRPr="00810493">
              <w:rPr>
                <w:rFonts w:eastAsia="DejaVu Sans Condensed"/>
                <w:b/>
                <w:color w:val="000000"/>
                <w:sz w:val="24"/>
                <w:szCs w:val="24"/>
              </w:rPr>
              <w:br/>
              <w:t>-------</w:t>
            </w:r>
          </w:p>
        </w:tc>
        <w:tc>
          <w:tcPr>
            <w:tcW w:w="2778" w:type="pct"/>
          </w:tcPr>
          <w:p w14:paraId="32BA46ED" w14:textId="77777777" w:rsidR="00810493" w:rsidRPr="00810493" w:rsidRDefault="00810493" w:rsidP="00810493">
            <w:pPr>
              <w:widowControl w:val="0"/>
              <w:spacing w:before="120" w:after="120"/>
              <w:jc w:val="center"/>
              <w:rPr>
                <w:rFonts w:eastAsia="DejaVu Sans Condensed"/>
                <w:color w:val="000000"/>
                <w:sz w:val="24"/>
                <w:szCs w:val="24"/>
              </w:rPr>
            </w:pPr>
            <w:r w:rsidRPr="00810493">
              <w:rPr>
                <w:rFonts w:eastAsia="DejaVu Sans Condensed"/>
                <w:b/>
                <w:color w:val="000000"/>
                <w:sz w:val="24"/>
                <w:szCs w:val="24"/>
              </w:rPr>
              <w:t>CỘNG HÒA XÃ HỘI CHỦ NGHĨA VIỆT NAM</w:t>
            </w:r>
            <w:r w:rsidRPr="00810493">
              <w:rPr>
                <w:rFonts w:eastAsia="DejaVu Sans Condensed"/>
                <w:b/>
                <w:color w:val="000000"/>
                <w:sz w:val="24"/>
                <w:szCs w:val="24"/>
              </w:rPr>
              <w:br/>
              <w:t xml:space="preserve">Độc lập - Tự do - Hạnh phúc </w:t>
            </w:r>
            <w:r w:rsidRPr="00810493">
              <w:rPr>
                <w:rFonts w:eastAsia="DejaVu Sans Condensed"/>
                <w:b/>
                <w:color w:val="000000"/>
                <w:sz w:val="24"/>
                <w:szCs w:val="24"/>
              </w:rPr>
              <w:br/>
              <w:t>---------------</w:t>
            </w:r>
          </w:p>
        </w:tc>
      </w:tr>
      <w:tr w:rsidR="00810493" w:rsidRPr="00810493" w14:paraId="772857B1" w14:textId="77777777" w:rsidTr="003B6145">
        <w:tc>
          <w:tcPr>
            <w:tcW w:w="2222" w:type="pct"/>
          </w:tcPr>
          <w:p w14:paraId="3D85479A" w14:textId="77777777" w:rsidR="00810493" w:rsidRPr="00810493" w:rsidRDefault="00810493" w:rsidP="00810493">
            <w:pPr>
              <w:widowControl w:val="0"/>
              <w:spacing w:before="120" w:after="120"/>
              <w:jc w:val="center"/>
              <w:rPr>
                <w:rFonts w:eastAsia="DejaVu Sans Condensed"/>
                <w:color w:val="000000"/>
                <w:sz w:val="24"/>
                <w:szCs w:val="24"/>
              </w:rPr>
            </w:pPr>
            <w:r w:rsidRPr="00810493">
              <w:rPr>
                <w:rFonts w:eastAsia="DejaVu Sans Condensed"/>
                <w:color w:val="000000"/>
                <w:sz w:val="24"/>
                <w:szCs w:val="24"/>
              </w:rPr>
              <w:t>Số:     /….-ĐA</w:t>
            </w:r>
          </w:p>
        </w:tc>
        <w:tc>
          <w:tcPr>
            <w:tcW w:w="2778" w:type="pct"/>
          </w:tcPr>
          <w:p w14:paraId="3D18B018" w14:textId="77777777" w:rsidR="00810493" w:rsidRPr="00810493" w:rsidRDefault="00810493" w:rsidP="00810493">
            <w:pPr>
              <w:widowControl w:val="0"/>
              <w:spacing w:before="120" w:after="120"/>
              <w:jc w:val="right"/>
              <w:rPr>
                <w:rFonts w:eastAsia="DejaVu Sans Condensed"/>
                <w:i/>
                <w:color w:val="000000"/>
                <w:sz w:val="24"/>
                <w:szCs w:val="24"/>
              </w:rPr>
            </w:pPr>
            <w:r w:rsidRPr="00810493">
              <w:rPr>
                <w:rFonts w:eastAsia="DejaVu Sans Condensed"/>
                <w:i/>
                <w:color w:val="000000"/>
                <w:sz w:val="24"/>
                <w:szCs w:val="24"/>
              </w:rPr>
              <w:t>…….., ngày …. tháng …. năm …..</w:t>
            </w:r>
          </w:p>
        </w:tc>
      </w:tr>
    </w:tbl>
    <w:p w14:paraId="61B90C5F" w14:textId="77777777" w:rsidR="00810493" w:rsidRPr="00810493" w:rsidRDefault="00810493" w:rsidP="00810493">
      <w:pPr>
        <w:widowControl w:val="0"/>
        <w:spacing w:before="120" w:after="120" w:line="240" w:lineRule="auto"/>
        <w:rPr>
          <w:rFonts w:eastAsia="DejaVu Sans Condensed" w:cs="Times New Roman"/>
          <w:color w:val="000000"/>
          <w:sz w:val="24"/>
          <w:szCs w:val="32"/>
          <w:lang w:eastAsia="vi-VN"/>
        </w:rPr>
      </w:pPr>
    </w:p>
    <w:p w14:paraId="131C8815" w14:textId="1309D310" w:rsidR="00810493" w:rsidRPr="00810493" w:rsidRDefault="00810493" w:rsidP="00810493">
      <w:pPr>
        <w:widowControl w:val="0"/>
        <w:spacing w:before="120" w:after="120" w:line="240" w:lineRule="auto"/>
        <w:jc w:val="center"/>
        <w:rPr>
          <w:rFonts w:eastAsia="DejaVu Sans Condensed" w:cs="Times New Roman"/>
          <w:b/>
          <w:color w:val="000000"/>
          <w:sz w:val="36"/>
          <w:szCs w:val="36"/>
          <w:lang w:val="vi-VN" w:eastAsia="vi-VN"/>
        </w:rPr>
      </w:pPr>
      <w:r w:rsidRPr="00810493">
        <w:rPr>
          <w:rFonts w:eastAsia="DejaVu Sans Condensed" w:cs="Times New Roman"/>
          <w:b/>
          <w:color w:val="000000"/>
          <w:szCs w:val="36"/>
          <w:lang w:val="vi-VN" w:eastAsia="vi-VN"/>
        </w:rPr>
        <w:t>ĐỀ ÁN</w:t>
      </w:r>
    </w:p>
    <w:p w14:paraId="489D52DD" w14:textId="1C940273" w:rsidR="00810493" w:rsidRPr="003B6145" w:rsidRDefault="00810493" w:rsidP="00810493">
      <w:pPr>
        <w:widowControl w:val="0"/>
        <w:spacing w:before="120" w:after="120" w:line="240" w:lineRule="auto"/>
        <w:jc w:val="center"/>
        <w:rPr>
          <w:rFonts w:eastAsia="DejaVu Sans Condensed" w:cs="Times New Roman"/>
          <w:b/>
          <w:color w:val="000000"/>
          <w:sz w:val="24"/>
          <w:szCs w:val="36"/>
          <w:lang w:val="vi-VN" w:eastAsia="vi-VN"/>
        </w:rPr>
      </w:pPr>
      <w:r w:rsidRPr="003B6145">
        <w:rPr>
          <w:rFonts w:eastAsia="DejaVu Sans Condensed" w:cs="Times New Roman"/>
          <w:b/>
          <w:color w:val="000000"/>
          <w:sz w:val="24"/>
          <w:szCs w:val="36"/>
          <w:lang w:val="vi-VN" w:eastAsia="vi-VN"/>
        </w:rPr>
        <w:t>Sử dụng tài sản công tại đơn vị sự nghiệp công lập vào mục đích kinh doanh/cho thuê/liên doanh, liên kết</w:t>
      </w:r>
    </w:p>
    <w:p w14:paraId="5680BBD4" w14:textId="77777777" w:rsidR="00810493" w:rsidRPr="00810493" w:rsidRDefault="00810493" w:rsidP="003B6145">
      <w:pPr>
        <w:widowControl w:val="0"/>
        <w:spacing w:before="120" w:after="120" w:line="240" w:lineRule="auto"/>
        <w:jc w:val="both"/>
        <w:rPr>
          <w:rFonts w:eastAsia="DejaVu Sans Condensed" w:cs="Times New Roman"/>
          <w:b/>
          <w:color w:val="000000"/>
          <w:sz w:val="24"/>
          <w:szCs w:val="32"/>
          <w:lang w:val="vi-VN" w:eastAsia="vi-VN"/>
        </w:rPr>
      </w:pPr>
      <w:r w:rsidRPr="00810493">
        <w:rPr>
          <w:rFonts w:eastAsia="DejaVu Sans Condensed" w:cs="Times New Roman"/>
          <w:b/>
          <w:color w:val="000000"/>
          <w:sz w:val="24"/>
          <w:szCs w:val="32"/>
          <w:lang w:val="vi-VN" w:eastAsia="vi-VN"/>
        </w:rPr>
        <w:t>I. CƠ SỞ THỰC HIỆN ĐỀ ÁN</w:t>
      </w:r>
    </w:p>
    <w:p w14:paraId="23B2A22A"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1. Cơ sở pháp lý</w:t>
      </w:r>
    </w:p>
    <w:p w14:paraId="1703D930"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 Luật Quản lý, sử dụng tài sản công năm 2017;</w:t>
      </w:r>
    </w:p>
    <w:p w14:paraId="09AFB532"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 Nghị định số 151/2017/NĐ-CP ngày 26 tháng 12 năm 2017 của Chính phủ quy định chi tiết một số điều của Luật Quản lý, sử dụng tài sản công;</w:t>
      </w:r>
    </w:p>
    <w:p w14:paraId="34C6FFD4"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 Các văn bản khác có liên quan đến việc sử dụng tài sản công tại đơn vị sự nghiệp công lập vào mục đích kinh doanh/cho thuê/liên doanh, liên kết.</w:t>
      </w:r>
    </w:p>
    <w:p w14:paraId="5151387D"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2. Cơ sở thực tiễn</w:t>
      </w:r>
    </w:p>
    <w:p w14:paraId="33F0F066"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a) Chức năng, nhiệm vụ của đơn vị</w:t>
      </w:r>
    </w:p>
    <w:p w14:paraId="3D433C7E"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b) Cơ cấu tổ chức bộ máy của đơn vị</w:t>
      </w:r>
    </w:p>
    <w:p w14:paraId="57747388"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c) Kết quả thực hiện nhiệm vụ của đơn vị trong 3 năm gần nhất và kế hoạch phát triển trong các năm tiếp theo.</w:t>
      </w:r>
    </w:p>
    <w:p w14:paraId="2981065E" w14:textId="77777777" w:rsidR="00810493" w:rsidRPr="00810493" w:rsidRDefault="00810493" w:rsidP="003B6145">
      <w:pPr>
        <w:widowControl w:val="0"/>
        <w:spacing w:before="120" w:after="120" w:line="240" w:lineRule="auto"/>
        <w:jc w:val="both"/>
        <w:rPr>
          <w:rFonts w:eastAsia="DejaVu Sans Condensed" w:cs="Times New Roman"/>
          <w:b/>
          <w:color w:val="000000"/>
          <w:sz w:val="24"/>
          <w:szCs w:val="32"/>
          <w:lang w:val="vi-VN" w:eastAsia="vi-VN"/>
        </w:rPr>
      </w:pPr>
      <w:r w:rsidRPr="00810493">
        <w:rPr>
          <w:rFonts w:eastAsia="DejaVu Sans Condensed" w:cs="Times New Roman"/>
          <w:b/>
          <w:color w:val="000000"/>
          <w:sz w:val="24"/>
          <w:szCs w:val="32"/>
          <w:lang w:val="vi-VN" w:eastAsia="vi-VN"/>
        </w:rPr>
        <w:t>II. NỘI DUNG CHỦ YẾU CỦA ĐỀ ÁN</w:t>
      </w:r>
    </w:p>
    <w:p w14:paraId="55DE1572"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1. Thực trạng quản lý, sử dụng tài sản công tại đơn vị</w:t>
      </w:r>
    </w:p>
    <w:p w14:paraId="43E99353"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a) Thực trạng quản lý, sử dụng tài sản công tại đơn vị theo các nhóm tài sản:</w:t>
      </w:r>
    </w:p>
    <w:p w14:paraId="72C5B9FB"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 Nhà làm việc, công trình sự nghiệp, nhà ở công vụ và tài sản khác gắn liền với đất.</w:t>
      </w:r>
    </w:p>
    <w:p w14:paraId="267CC26E"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 Quyền sử dụng đất thuộc cơ sở hoạt động sự nghiệp, nhà ở công vụ.</w:t>
      </w:r>
    </w:p>
    <w:p w14:paraId="1B3BAD56"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 Xe ô tô và phương tiện vận tải khác; máy móc, thiết bị.</w:t>
      </w:r>
    </w:p>
    <w:p w14:paraId="5B7578A2"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 Quyền sở hữu trí tuệ, phần mềm ứng dụng, cơ sở dữ liệu.</w:t>
      </w:r>
    </w:p>
    <w:p w14:paraId="44A1C820"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 Tài sản khác.</w:t>
      </w:r>
    </w:p>
    <w:p w14:paraId="0D875556"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b) Tài sản đang sử dụng vào mục đích kinh doanh/cho thuê/liên doanh, liên kết (nếu có)</w:t>
      </w:r>
    </w:p>
    <w:p w14:paraId="1BE17253"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 Chủng loại, số lượng, nguyên giá, giá trị còn lại, thời hạn sử dụng tài sản vào mục đích kinh doanh/cho thuê/liên doanh, liên kết.</w:t>
      </w:r>
    </w:p>
    <w:p w14:paraId="32EBA8D4"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 Hình thức/phương thức sử dụng tài sản vào mục đích kinh doanh/cho thuê/liên doanh, liên kết.</w:t>
      </w:r>
    </w:p>
    <w:p w14:paraId="15B89C38"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 Kết quả của việc sử dụng tài sản vào mục đích kinh doanh/cho thuê/liên doanh, liên kết của 03 năm liền trước năm xây dựng đề án (doanh thu, chi phí, nộp ngân sách nhà nước, chênh lệch thu chi; tỷ trọng doanh thu từ việc sử dụng tài sản công vào mục đích kinh doanh/cho thuê/liên doanh, liên kết trong tổng nguồn thu sự nghiệp của đơn vị; tỷ trọng tiền do ngân sách nhà nước cấp trong tổng dự toán chi hàng năm của đơn vị....).</w:t>
      </w:r>
    </w:p>
    <w:p w14:paraId="664DC398"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2. Phương án sử dụng tài sản công vào mục đích kinh doanh/cho thuê/liên doanh, liên kết</w:t>
      </w:r>
    </w:p>
    <w:p w14:paraId="50558159"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lastRenderedPageBreak/>
        <w:t>a) Phương án sử dụng tài sản công tại đơn vị:</w:t>
      </w:r>
    </w:p>
    <w:p w14:paraId="7B501915"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 Tài sản sử dụng vào mục đích kinh doanh/cho thuê/liên doanh, liên kết (chủng loại, số lượng; tỷ lệ nguyên giá tài sản sử dụng vào mục đích kinh doanh/cho thuê/liên doanh, liên kết so với tổng nguyên giá tài sản đơn vị đang quản lý, sử dụng; phương án sử dụng đất khi sử dụng tài sản gắn liền với đất để kinh doanh/cho thuê/liên doanh, liên kết...).</w:t>
      </w:r>
    </w:p>
    <w:p w14:paraId="4ADF2E18"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 Sự cần thiết của việc sử dụng tài sản công vào mục đích kinh doanh/cho thuê/liên doanh, liên kết (nêu rõ trường hợp áp dụng theo quy định tại khoản 1 các Điều 56, 57, 58 của Luật Quản lý, sử dụng tài sản công; khả năng đáp ứng việc thực hiện nhiệm vụ do Nhà nước giao khi sử dụng tài sản vào mục đích kinh doanh/cho thuê/liên doanh, liên kết;...).</w:t>
      </w:r>
    </w:p>
    <w:p w14:paraId="6EF8251C"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 Thời gian thực hiện kinh doanh/cho thuê/liên doanh, liên kết.</w:t>
      </w:r>
    </w:p>
    <w:p w14:paraId="40B48D92"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 Hình thức/phương thức sử dụng tài sản công vào mục đích kinh doanh/cho thuê/liên doanh, liên kết.</w:t>
      </w:r>
    </w:p>
    <w:p w14:paraId="69A7F12E"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 Phương án tài chính của việc kinh doanh/cho thuê/liên doanh, liên kết.</w:t>
      </w:r>
    </w:p>
    <w:p w14:paraId="6ADC5510"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b) Đánh giá sơ bộ hiệu quả của phương án kinh doanh/cho thuê/liên doanh, liên kết:</w:t>
      </w:r>
    </w:p>
    <w:p w14:paraId="21B84179"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 Dự kiến doanh thu, chi phí, số nộp ngân sách nhà nước, chênh lệch thu chi, tỷ trọng nguồn thu từ việc sử dụng tài sản công vào mục đích kinh doanh/cho thuê/liên doanh, liên kết trong tổng nguồn thu sự nghiệp của đơn vị;</w:t>
      </w:r>
    </w:p>
    <w:p w14:paraId="34B47FC5"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 Dự kiến số tiền do ngân sách nhà nước cấp và tỷ trọng tiền do ngân sách nhà nước cấp trong tổng dự toán chi hàng năm của đơn vị trong thời gian sử dụng tài sản công vào mục đích kinh doanh/cho thuê/liên doanh, liên kết;</w:t>
      </w:r>
    </w:p>
    <w:p w14:paraId="0B9686FB" w14:textId="77777777" w:rsidR="00810493" w:rsidRPr="00810493" w:rsidRDefault="00810493" w:rsidP="003B6145">
      <w:pPr>
        <w:widowControl w:val="0"/>
        <w:spacing w:before="120" w:after="120" w:line="240" w:lineRule="auto"/>
        <w:jc w:val="both"/>
        <w:rPr>
          <w:rFonts w:eastAsia="DejaVu Sans Condensed" w:cs="Times New Roman"/>
          <w:color w:val="000000"/>
          <w:sz w:val="24"/>
          <w:szCs w:val="32"/>
          <w:lang w:val="vi-VN" w:eastAsia="vi-VN"/>
        </w:rPr>
      </w:pPr>
      <w:r w:rsidRPr="00810493">
        <w:rPr>
          <w:rFonts w:eastAsia="DejaVu Sans Condensed" w:cs="Times New Roman"/>
          <w:color w:val="000000"/>
          <w:sz w:val="24"/>
          <w:szCs w:val="32"/>
          <w:lang w:val="vi-VN" w:eastAsia="vi-VN"/>
        </w:rPr>
        <w:t>- Số lượng, chất lượng, mức giá dịch vụ sự nghiệp công dự kiến.</w:t>
      </w:r>
    </w:p>
    <w:p w14:paraId="28C4F991" w14:textId="77777777" w:rsidR="00810493" w:rsidRPr="00810493" w:rsidRDefault="00810493" w:rsidP="003B6145">
      <w:pPr>
        <w:widowControl w:val="0"/>
        <w:spacing w:before="120" w:after="120" w:line="240" w:lineRule="auto"/>
        <w:jc w:val="both"/>
        <w:rPr>
          <w:rFonts w:eastAsia="DejaVu Sans Condensed" w:cs="Times New Roman"/>
          <w:b/>
          <w:color w:val="000000"/>
          <w:sz w:val="24"/>
          <w:szCs w:val="32"/>
          <w:lang w:val="vi-VN" w:eastAsia="vi-VN"/>
        </w:rPr>
      </w:pPr>
      <w:r w:rsidRPr="00810493">
        <w:rPr>
          <w:rFonts w:eastAsia="DejaVu Sans Condensed" w:cs="Times New Roman"/>
          <w:b/>
          <w:color w:val="000000"/>
          <w:sz w:val="24"/>
          <w:szCs w:val="32"/>
          <w:lang w:val="vi-VN" w:eastAsia="vi-VN"/>
        </w:rPr>
        <w:t>III. ĐỀ XUẤT, KIẾN NGHỊ ĐỂ THỰC HIỆN ĐỀ ÁN</w:t>
      </w:r>
    </w:p>
    <w:p w14:paraId="27A6F3DD" w14:textId="77777777" w:rsidR="00810493" w:rsidRPr="00810493" w:rsidRDefault="00810493" w:rsidP="00810493">
      <w:pPr>
        <w:widowControl w:val="0"/>
        <w:spacing w:before="120" w:after="120" w:line="240" w:lineRule="auto"/>
        <w:rPr>
          <w:rFonts w:eastAsia="DejaVu Sans Condensed" w:cs="Times New Roman"/>
          <w:b/>
          <w:color w:val="000000"/>
          <w:sz w:val="24"/>
          <w:szCs w:val="32"/>
          <w:lang w:val="vi-VN" w:eastAsia="vi-VN"/>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8"/>
        <w:gridCol w:w="4817"/>
      </w:tblGrid>
      <w:tr w:rsidR="00810493" w:rsidRPr="00810493" w14:paraId="6A850094" w14:textId="77777777" w:rsidTr="003B6145">
        <w:trPr>
          <w:jc w:val="center"/>
        </w:trPr>
        <w:tc>
          <w:tcPr>
            <w:tcW w:w="2583" w:type="pct"/>
          </w:tcPr>
          <w:p w14:paraId="4AE62400" w14:textId="19B7E23D" w:rsidR="00810493" w:rsidRPr="00810493" w:rsidRDefault="00810493" w:rsidP="00810493">
            <w:pPr>
              <w:widowControl w:val="0"/>
              <w:spacing w:before="120" w:after="120"/>
              <w:jc w:val="center"/>
              <w:rPr>
                <w:rFonts w:eastAsia="DejaVu Sans Condensed"/>
                <w:color w:val="000000"/>
                <w:sz w:val="24"/>
                <w:szCs w:val="24"/>
              </w:rPr>
            </w:pPr>
            <w:r w:rsidRPr="00810493">
              <w:rPr>
                <w:rFonts w:eastAsia="DejaVu Sans Condensed"/>
                <w:b/>
                <w:color w:val="000000"/>
                <w:sz w:val="24"/>
                <w:szCs w:val="24"/>
              </w:rPr>
              <w:t xml:space="preserve">CHỦ TỊCH HỘI ĐỒNG QUẢN LÝ </w:t>
            </w:r>
            <w:r w:rsidRPr="00810493">
              <w:rPr>
                <w:rFonts w:eastAsia="DejaVu Sans Condensed"/>
                <w:color w:val="000000"/>
                <w:sz w:val="24"/>
                <w:szCs w:val="24"/>
              </w:rPr>
              <w:t>(NẾU CÓ)</w:t>
            </w:r>
            <w:r w:rsidRPr="00810493">
              <w:rPr>
                <w:rFonts w:eastAsia="DejaVu Sans Condensed"/>
                <w:color w:val="000000"/>
                <w:sz w:val="24"/>
                <w:szCs w:val="24"/>
              </w:rPr>
              <w:br/>
            </w:r>
            <w:r w:rsidRPr="00810493">
              <w:rPr>
                <w:rFonts w:eastAsia="DejaVu Sans Condensed"/>
                <w:i/>
                <w:color w:val="000000"/>
                <w:sz w:val="24"/>
                <w:szCs w:val="24"/>
              </w:rPr>
              <w:t>(KÝ, GHI RÕ HỌ TÊN, ĐÓNG DẤU)</w:t>
            </w:r>
          </w:p>
        </w:tc>
        <w:tc>
          <w:tcPr>
            <w:tcW w:w="2417" w:type="pct"/>
          </w:tcPr>
          <w:p w14:paraId="79FFEF1C" w14:textId="25E72E08" w:rsidR="00810493" w:rsidRPr="00810493" w:rsidRDefault="00810493" w:rsidP="00810493">
            <w:pPr>
              <w:widowControl w:val="0"/>
              <w:spacing w:before="120" w:after="120"/>
              <w:jc w:val="center"/>
              <w:rPr>
                <w:rFonts w:eastAsia="DejaVu Sans Condensed"/>
                <w:b/>
                <w:color w:val="000000"/>
                <w:sz w:val="24"/>
                <w:szCs w:val="24"/>
              </w:rPr>
            </w:pPr>
            <w:r w:rsidRPr="00810493">
              <w:rPr>
                <w:rFonts w:eastAsia="DejaVu Sans Condensed"/>
                <w:b/>
                <w:color w:val="000000"/>
                <w:sz w:val="24"/>
                <w:szCs w:val="24"/>
              </w:rPr>
              <w:t>THỦ TRƯỞNG ĐƠN VỊ</w:t>
            </w:r>
            <w:r w:rsidRPr="00810493">
              <w:rPr>
                <w:rFonts w:eastAsia="DejaVu Sans Condensed"/>
                <w:b/>
                <w:color w:val="000000"/>
                <w:sz w:val="24"/>
                <w:szCs w:val="24"/>
              </w:rPr>
              <w:br/>
            </w:r>
            <w:r w:rsidRPr="00810493">
              <w:rPr>
                <w:rFonts w:eastAsia="DejaVu Sans Condensed"/>
                <w:i/>
                <w:color w:val="000000"/>
                <w:sz w:val="24"/>
                <w:szCs w:val="24"/>
              </w:rPr>
              <w:t>(KÝ, GHI RÕ HỌ TÊN, ĐÓNG DẤU)</w:t>
            </w:r>
          </w:p>
        </w:tc>
      </w:tr>
    </w:tbl>
    <w:p w14:paraId="0B740DE7" w14:textId="77777777" w:rsidR="00810493" w:rsidRPr="00810493" w:rsidRDefault="00810493" w:rsidP="00810493">
      <w:pPr>
        <w:widowControl w:val="0"/>
        <w:spacing w:before="120" w:after="120" w:line="240" w:lineRule="auto"/>
        <w:rPr>
          <w:rFonts w:eastAsia="DejaVu Sans Condensed" w:cs="Times New Roman"/>
          <w:b/>
          <w:color w:val="000000"/>
          <w:sz w:val="24"/>
          <w:szCs w:val="32"/>
          <w:lang w:val="vi-VN" w:eastAsia="vi-VN"/>
        </w:rPr>
      </w:pPr>
    </w:p>
    <w:p w14:paraId="65415C3B" w14:textId="77777777" w:rsidR="007E23BB" w:rsidRPr="00810493" w:rsidRDefault="007E23BB" w:rsidP="00810493">
      <w:pPr>
        <w:spacing w:before="120" w:after="120" w:line="240" w:lineRule="auto"/>
        <w:rPr>
          <w:rFonts w:cs="Times New Roman"/>
          <w:sz w:val="36"/>
          <w:szCs w:val="28"/>
          <w:lang w:val="vi-VN"/>
        </w:rPr>
      </w:pPr>
    </w:p>
    <w:sectPr w:rsidR="007E23BB" w:rsidRPr="00810493" w:rsidSect="00B77CBC">
      <w:headerReference w:type="even" r:id="rId7"/>
      <w:headerReference w:type="default" r:id="rId8"/>
      <w:footerReference w:type="even" r:id="rId9"/>
      <w:footerReference w:type="default" r:id="rId10"/>
      <w:headerReference w:type="first" r:id="rId11"/>
      <w:footerReference w:type="first" r:id="rId12"/>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8A71C" w14:textId="77777777" w:rsidR="006224FB" w:rsidRDefault="006224FB" w:rsidP="004703B8">
      <w:pPr>
        <w:spacing w:after="0" w:line="240" w:lineRule="auto"/>
      </w:pPr>
      <w:r>
        <w:separator/>
      </w:r>
    </w:p>
  </w:endnote>
  <w:endnote w:type="continuationSeparator" w:id="0">
    <w:p w14:paraId="34276798" w14:textId="77777777" w:rsidR="006224FB" w:rsidRDefault="006224FB"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Condensed">
    <w:panose1 w:val="020B0606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C2CE" w14:textId="77777777" w:rsidR="00EF3ED6" w:rsidRDefault="00EF3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ACB3" w14:textId="48613F0E" w:rsidR="004703B8" w:rsidRPr="00EF3ED6" w:rsidRDefault="004703B8" w:rsidP="00EF3E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AC67" w14:textId="77777777" w:rsidR="00EF3ED6" w:rsidRDefault="00EF3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AD917" w14:textId="77777777" w:rsidR="006224FB" w:rsidRDefault="006224FB" w:rsidP="004703B8">
      <w:pPr>
        <w:spacing w:after="0" w:line="240" w:lineRule="auto"/>
      </w:pPr>
      <w:r>
        <w:separator/>
      </w:r>
    </w:p>
  </w:footnote>
  <w:footnote w:type="continuationSeparator" w:id="0">
    <w:p w14:paraId="49E82AB2" w14:textId="77777777" w:rsidR="006224FB" w:rsidRDefault="006224FB"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7FCDE" w14:textId="77777777" w:rsidR="00EF3ED6" w:rsidRDefault="00EF3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46C1" w14:textId="77777777" w:rsidR="00EF3ED6" w:rsidRPr="00EF3ED6" w:rsidRDefault="00EF3ED6" w:rsidP="00EF3E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1320" w14:textId="77777777" w:rsidR="00EF3ED6" w:rsidRDefault="00EF3E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53964"/>
    <w:rsid w:val="0006315C"/>
    <w:rsid w:val="00096C90"/>
    <w:rsid w:val="00144416"/>
    <w:rsid w:val="0017105B"/>
    <w:rsid w:val="001920F0"/>
    <w:rsid w:val="002509E1"/>
    <w:rsid w:val="00262542"/>
    <w:rsid w:val="00263788"/>
    <w:rsid w:val="002F17CF"/>
    <w:rsid w:val="00335877"/>
    <w:rsid w:val="003A4223"/>
    <w:rsid w:val="003B6145"/>
    <w:rsid w:val="003D3564"/>
    <w:rsid w:val="003F3152"/>
    <w:rsid w:val="004137B4"/>
    <w:rsid w:val="004703B8"/>
    <w:rsid w:val="0047155C"/>
    <w:rsid w:val="005717EA"/>
    <w:rsid w:val="005B27DF"/>
    <w:rsid w:val="00613074"/>
    <w:rsid w:val="00613FB5"/>
    <w:rsid w:val="006224FB"/>
    <w:rsid w:val="00686BDF"/>
    <w:rsid w:val="006961CA"/>
    <w:rsid w:val="00720AFE"/>
    <w:rsid w:val="0072111F"/>
    <w:rsid w:val="007404AB"/>
    <w:rsid w:val="00770854"/>
    <w:rsid w:val="007914EE"/>
    <w:rsid w:val="007A70D3"/>
    <w:rsid w:val="007E23BB"/>
    <w:rsid w:val="00810493"/>
    <w:rsid w:val="00836BE3"/>
    <w:rsid w:val="00860699"/>
    <w:rsid w:val="008F3CA3"/>
    <w:rsid w:val="008F576D"/>
    <w:rsid w:val="0096432D"/>
    <w:rsid w:val="009D25DA"/>
    <w:rsid w:val="00A0643C"/>
    <w:rsid w:val="00A17A3A"/>
    <w:rsid w:val="00A74F16"/>
    <w:rsid w:val="00A977CA"/>
    <w:rsid w:val="00AC1BC5"/>
    <w:rsid w:val="00B26EEE"/>
    <w:rsid w:val="00B77CBC"/>
    <w:rsid w:val="00B84B1A"/>
    <w:rsid w:val="00B87BB2"/>
    <w:rsid w:val="00BA24E2"/>
    <w:rsid w:val="00BB1ACC"/>
    <w:rsid w:val="00CA19FD"/>
    <w:rsid w:val="00CD6650"/>
    <w:rsid w:val="00CE4AB0"/>
    <w:rsid w:val="00D252BC"/>
    <w:rsid w:val="00D45B8E"/>
    <w:rsid w:val="00D569AD"/>
    <w:rsid w:val="00D74F9D"/>
    <w:rsid w:val="00D90ADE"/>
    <w:rsid w:val="00DC44C6"/>
    <w:rsid w:val="00E257FD"/>
    <w:rsid w:val="00E742A0"/>
    <w:rsid w:val="00EA504E"/>
    <w:rsid w:val="00EF3ED6"/>
    <w:rsid w:val="00F16DD1"/>
    <w:rsid w:val="00F623A3"/>
    <w:rsid w:val="00F730E7"/>
    <w:rsid w:val="00F94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49C4"/>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character" w:styleId="Hyperlink">
    <w:name w:val="Hyperlink"/>
    <w:basedOn w:val="DefaultParagraphFont"/>
    <w:uiPriority w:val="99"/>
    <w:unhideWhenUsed/>
    <w:rsid w:val="00770854"/>
    <w:rPr>
      <w:color w:val="0000FF" w:themeColor="hyperlink"/>
      <w:u w:val="single"/>
    </w:rPr>
  </w:style>
  <w:style w:type="table" w:styleId="TableGrid">
    <w:name w:val="Table Grid"/>
    <w:basedOn w:val="TableNormal"/>
    <w:rsid w:val="00BA24E2"/>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9852">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398938301">
      <w:bodyDiv w:val="1"/>
      <w:marLeft w:val="0"/>
      <w:marRight w:val="0"/>
      <w:marTop w:val="0"/>
      <w:marBottom w:val="0"/>
      <w:divBdr>
        <w:top w:val="none" w:sz="0" w:space="0" w:color="auto"/>
        <w:left w:val="none" w:sz="0" w:space="0" w:color="auto"/>
        <w:bottom w:val="none" w:sz="0" w:space="0" w:color="auto"/>
        <w:right w:val="none" w:sz="0" w:space="0" w:color="auto"/>
      </w:divBdr>
    </w:div>
    <w:div w:id="491725275">
      <w:bodyDiv w:val="1"/>
      <w:marLeft w:val="0"/>
      <w:marRight w:val="0"/>
      <w:marTop w:val="0"/>
      <w:marBottom w:val="0"/>
      <w:divBdr>
        <w:top w:val="none" w:sz="0" w:space="0" w:color="auto"/>
        <w:left w:val="none" w:sz="0" w:space="0" w:color="auto"/>
        <w:bottom w:val="none" w:sz="0" w:space="0" w:color="auto"/>
        <w:right w:val="none" w:sz="0" w:space="0" w:color="auto"/>
      </w:divBdr>
    </w:div>
    <w:div w:id="664357947">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923418909">
      <w:bodyDiv w:val="1"/>
      <w:marLeft w:val="0"/>
      <w:marRight w:val="0"/>
      <w:marTop w:val="0"/>
      <w:marBottom w:val="0"/>
      <w:divBdr>
        <w:top w:val="none" w:sz="0" w:space="0" w:color="auto"/>
        <w:left w:val="none" w:sz="0" w:space="0" w:color="auto"/>
        <w:bottom w:val="none" w:sz="0" w:space="0" w:color="auto"/>
        <w:right w:val="none" w:sz="0" w:space="0" w:color="auto"/>
      </w:divBdr>
    </w:div>
    <w:div w:id="923996645">
      <w:bodyDiv w:val="1"/>
      <w:marLeft w:val="0"/>
      <w:marRight w:val="0"/>
      <w:marTop w:val="0"/>
      <w:marBottom w:val="0"/>
      <w:divBdr>
        <w:top w:val="none" w:sz="0" w:space="0" w:color="auto"/>
        <w:left w:val="none" w:sz="0" w:space="0" w:color="auto"/>
        <w:bottom w:val="none" w:sz="0" w:space="0" w:color="auto"/>
        <w:right w:val="none" w:sz="0" w:space="0" w:color="auto"/>
      </w:divBdr>
    </w:div>
    <w:div w:id="929046507">
      <w:bodyDiv w:val="1"/>
      <w:marLeft w:val="0"/>
      <w:marRight w:val="0"/>
      <w:marTop w:val="0"/>
      <w:marBottom w:val="0"/>
      <w:divBdr>
        <w:top w:val="none" w:sz="0" w:space="0" w:color="auto"/>
        <w:left w:val="none" w:sz="0" w:space="0" w:color="auto"/>
        <w:bottom w:val="none" w:sz="0" w:space="0" w:color="auto"/>
        <w:right w:val="none" w:sz="0" w:space="0" w:color="auto"/>
      </w:divBdr>
    </w:div>
    <w:div w:id="1048530427">
      <w:bodyDiv w:val="1"/>
      <w:marLeft w:val="0"/>
      <w:marRight w:val="0"/>
      <w:marTop w:val="0"/>
      <w:marBottom w:val="0"/>
      <w:divBdr>
        <w:top w:val="none" w:sz="0" w:space="0" w:color="auto"/>
        <w:left w:val="none" w:sz="0" w:space="0" w:color="auto"/>
        <w:bottom w:val="none" w:sz="0" w:space="0" w:color="auto"/>
        <w:right w:val="none" w:sz="0" w:space="0" w:color="auto"/>
      </w:divBdr>
    </w:div>
    <w:div w:id="1058557445">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285575116">
      <w:bodyDiv w:val="1"/>
      <w:marLeft w:val="0"/>
      <w:marRight w:val="0"/>
      <w:marTop w:val="0"/>
      <w:marBottom w:val="0"/>
      <w:divBdr>
        <w:top w:val="none" w:sz="0" w:space="0" w:color="auto"/>
        <w:left w:val="none" w:sz="0" w:space="0" w:color="auto"/>
        <w:bottom w:val="none" w:sz="0" w:space="0" w:color="auto"/>
        <w:right w:val="none" w:sz="0" w:space="0" w:color="auto"/>
      </w:divBdr>
    </w:div>
    <w:div w:id="1469282376">
      <w:bodyDiv w:val="1"/>
      <w:marLeft w:val="0"/>
      <w:marRight w:val="0"/>
      <w:marTop w:val="0"/>
      <w:marBottom w:val="0"/>
      <w:divBdr>
        <w:top w:val="none" w:sz="0" w:space="0" w:color="auto"/>
        <w:left w:val="none" w:sz="0" w:space="0" w:color="auto"/>
        <w:bottom w:val="none" w:sz="0" w:space="0" w:color="auto"/>
        <w:right w:val="none" w:sz="0" w:space="0" w:color="auto"/>
      </w:divBdr>
    </w:div>
    <w:div w:id="1546138037">
      <w:bodyDiv w:val="1"/>
      <w:marLeft w:val="0"/>
      <w:marRight w:val="0"/>
      <w:marTop w:val="0"/>
      <w:marBottom w:val="0"/>
      <w:divBdr>
        <w:top w:val="none" w:sz="0" w:space="0" w:color="auto"/>
        <w:left w:val="none" w:sz="0" w:space="0" w:color="auto"/>
        <w:bottom w:val="none" w:sz="0" w:space="0" w:color="auto"/>
        <w:right w:val="none" w:sz="0" w:space="0" w:color="auto"/>
      </w:divBdr>
    </w:div>
    <w:div w:id="1736976809">
      <w:bodyDiv w:val="1"/>
      <w:marLeft w:val="0"/>
      <w:marRight w:val="0"/>
      <w:marTop w:val="0"/>
      <w:marBottom w:val="0"/>
      <w:divBdr>
        <w:top w:val="none" w:sz="0" w:space="0" w:color="auto"/>
        <w:left w:val="none" w:sz="0" w:space="0" w:color="auto"/>
        <w:bottom w:val="none" w:sz="0" w:space="0" w:color="auto"/>
        <w:right w:val="none" w:sz="0" w:space="0" w:color="auto"/>
      </w:divBdr>
    </w:div>
    <w:div w:id="1874002831">
      <w:bodyDiv w:val="1"/>
      <w:marLeft w:val="0"/>
      <w:marRight w:val="0"/>
      <w:marTop w:val="0"/>
      <w:marBottom w:val="0"/>
      <w:divBdr>
        <w:top w:val="none" w:sz="0" w:space="0" w:color="auto"/>
        <w:left w:val="none" w:sz="0" w:space="0" w:color="auto"/>
        <w:bottom w:val="none" w:sz="0" w:space="0" w:color="auto"/>
        <w:right w:val="none" w:sz="0" w:space="0" w:color="auto"/>
      </w:divBdr>
    </w:div>
    <w:div w:id="198511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42BB2-1CF6-42D7-AE10-B9500784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2022-01-17T07:47:00Z</dcterms:created>
  <dcterms:modified xsi:type="dcterms:W3CDTF">2022-09-12T10:08:00Z</dcterms:modified>
</cp:coreProperties>
</file>