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29FBCA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86310D" w14:textId="77777777" w:rsidR="00000000" w:rsidRDefault="00000000">
            <w:pPr>
              <w:spacing w:before="120"/>
              <w:jc w:val="center"/>
            </w:pPr>
            <w:r>
              <w:rPr>
                <w:b/>
                <w:bCs/>
                <w:lang w:val="vi-VN"/>
              </w:rPr>
              <w:t>ỦY BAN NHÂN DÂN</w:t>
            </w:r>
            <w:r>
              <w:rPr>
                <w:b/>
                <w:bCs/>
              </w:rPr>
              <w:br/>
            </w:r>
            <w:r>
              <w:rPr>
                <w:b/>
                <w:bCs/>
                <w:lang w:val="vi-VN"/>
              </w:rPr>
              <w:t>TỈNH THANH HÓA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14738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0C33DC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164E7B" w14:textId="77777777" w:rsidR="00000000" w:rsidRDefault="00000000">
            <w:pPr>
              <w:spacing w:before="120"/>
              <w:jc w:val="center"/>
            </w:pPr>
            <w:r>
              <w:rPr>
                <w:lang w:val="vi-VN"/>
              </w:rPr>
              <w:t>Số: 3322/QĐ-UBND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CD9469" w14:textId="77777777" w:rsidR="00000000" w:rsidRDefault="00000000">
            <w:pPr>
              <w:spacing w:before="120"/>
              <w:jc w:val="right"/>
            </w:pPr>
            <w:r>
              <w:rPr>
                <w:i/>
                <w:iCs/>
                <w:lang w:val="vi-VN"/>
              </w:rPr>
              <w:t>Thanh Hóa, ngày 04 tháng 10 năm 2022</w:t>
            </w:r>
          </w:p>
        </w:tc>
      </w:tr>
    </w:tbl>
    <w:p w14:paraId="6D271AD8" w14:textId="77777777" w:rsidR="00000000" w:rsidRDefault="00000000">
      <w:pPr>
        <w:spacing w:before="120" w:after="280" w:afterAutospacing="1"/>
      </w:pPr>
      <w:r>
        <w:rPr>
          <w:lang w:val="vi-VN"/>
        </w:rPr>
        <w:t> </w:t>
      </w:r>
    </w:p>
    <w:p w14:paraId="103DB8D9" w14:textId="77777777" w:rsidR="00000000" w:rsidRDefault="00000000">
      <w:pPr>
        <w:spacing w:before="120" w:after="280" w:afterAutospacing="1"/>
        <w:jc w:val="center"/>
      </w:pPr>
      <w:r>
        <w:rPr>
          <w:b/>
          <w:bCs/>
          <w:lang w:val="vi-VN"/>
        </w:rPr>
        <w:t>QUYẾT ĐỊNH</w:t>
      </w:r>
    </w:p>
    <w:p w14:paraId="2AE9115C" w14:textId="77777777" w:rsidR="00000000" w:rsidRDefault="00000000">
      <w:pPr>
        <w:spacing w:before="120" w:after="280" w:afterAutospacing="1"/>
        <w:jc w:val="center"/>
      </w:pPr>
      <w:r>
        <w:rPr>
          <w:lang w:val="vi-VN"/>
        </w:rPr>
        <w:t>PHÊ DUYỆT QUYẾT TOÁN VỐN ĐẦU TƯ DỰ ÁN HOÀN THÀNH, CÔNG TRÌNH: XÂY DỰNG CÁC HẠNG MỤC BẢO VỆ VÀ PHÁT HUY GIÁ TRỊ DI TÍCH HANG CON MOONG, XÃ THÀNH YÊN, HUYỆN THẠCH THÀNH</w:t>
      </w:r>
    </w:p>
    <w:p w14:paraId="4A4BB68F" w14:textId="77777777" w:rsidR="00000000" w:rsidRDefault="00000000">
      <w:pPr>
        <w:spacing w:before="120" w:after="280" w:afterAutospacing="1"/>
        <w:jc w:val="center"/>
      </w:pPr>
      <w:r>
        <w:rPr>
          <w:b/>
          <w:bCs/>
          <w:lang w:val="vi-VN"/>
        </w:rPr>
        <w:t>CHỦ TỊCH ỦY BAN NHÂN DÂN TỈNH THANH HÓA</w:t>
      </w:r>
    </w:p>
    <w:p w14:paraId="55A7785F" w14:textId="77777777" w:rsidR="00000000" w:rsidRDefault="00000000">
      <w:pPr>
        <w:spacing w:before="120" w:after="280" w:afterAutospacing="1"/>
      </w:pPr>
      <w:r>
        <w:rPr>
          <w:i/>
          <w:iCs/>
          <w:lang w:val="vi-VN"/>
        </w:rPr>
        <w:t>Căn cứ Luật Tổ chức chính quyền địa phương số 77/2015/QH13; Luật Sửa đổi, bổ sung một số điều của Luật tổ chức Chính phủ và Luật tổ chức chính quyền địa phương số 47/2019/QH14;</w:t>
      </w:r>
    </w:p>
    <w:p w14:paraId="14C1A7FC" w14:textId="77777777" w:rsidR="00000000" w:rsidRDefault="00000000">
      <w:pPr>
        <w:spacing w:before="120" w:after="280" w:afterAutospacing="1"/>
      </w:pPr>
      <w:r>
        <w:rPr>
          <w:i/>
          <w:iCs/>
          <w:lang w:val="vi-VN"/>
        </w:rPr>
        <w:t>Căn cứ Luật Xây dựng số 50/2014/QH13 đã được sửa đổi, bổ sung một số điều theo Luật số 03/2016/QH14, Luật số 35/2018/QH14, Luật số 40/2019/QH4 và Luật số 62/2020/QH14;</w:t>
      </w:r>
    </w:p>
    <w:p w14:paraId="64562F5C" w14:textId="77777777" w:rsidR="00000000" w:rsidRDefault="00000000">
      <w:pPr>
        <w:spacing w:before="120" w:after="280" w:afterAutospacing="1"/>
      </w:pPr>
      <w:r>
        <w:rPr>
          <w:i/>
          <w:iCs/>
          <w:lang w:val="vi-VN"/>
        </w:rPr>
        <w:t>Căn cứ Luật Đầu tư công số 39/2019/QH14;</w:t>
      </w:r>
    </w:p>
    <w:p w14:paraId="5963BAD5" w14:textId="77777777" w:rsidR="00000000" w:rsidRDefault="00000000">
      <w:pPr>
        <w:spacing w:before="120" w:after="280" w:afterAutospacing="1"/>
      </w:pPr>
      <w:r>
        <w:rPr>
          <w:i/>
          <w:iCs/>
          <w:lang w:val="vi-VN"/>
        </w:rPr>
        <w:t>Căn cứ các Nghị định của Chính phủ: số 15/2021/NĐ-CP ngày 03/3/2021 quy định chi tiết một số nội dung về quản lý dự án đầu tư xây dựng; số 10/2021/NĐ-CP ngày 09/02/2021 về quản lý chi phí đầu tư xây dựng; số 99/2021/NĐ-CP ngày 11/11/2021 quy định về quản lý, thanh toán, quyết toán dự án sử dụng vốn đầu tư công và các quy định của pháp luật có liên quan;</w:t>
      </w:r>
    </w:p>
    <w:p w14:paraId="6203521F" w14:textId="77777777" w:rsidR="00000000" w:rsidRDefault="00000000">
      <w:pPr>
        <w:spacing w:before="120" w:after="280" w:afterAutospacing="1"/>
      </w:pPr>
      <w:r>
        <w:rPr>
          <w:i/>
          <w:iCs/>
          <w:lang w:val="vi-VN"/>
        </w:rPr>
        <w:t>Căn cứ Thông tư số 96/2021/TT-BTC ngày 11/11/2021 của Bộ Tài chính Quy định về hệ thống mẫu biểu sử dụng trong công tác quyết toán;</w:t>
      </w:r>
    </w:p>
    <w:p w14:paraId="347259D0" w14:textId="77777777" w:rsidR="00000000" w:rsidRDefault="00000000">
      <w:pPr>
        <w:spacing w:before="120" w:after="280" w:afterAutospacing="1"/>
      </w:pPr>
      <w:r>
        <w:rPr>
          <w:i/>
          <w:iCs/>
          <w:lang w:val="vi-VN"/>
        </w:rPr>
        <w:t>Căn cứ Quyết định số 2851/QĐ-UBND ngày 04/9/2014 của Chủ tịch UBND tỉnh về việc phê duyệt Báo cáo kinh tế - kỹ thuật và Kế hoạch lựa chọn nhà thầu công trình: Xây dựng các hạng mục bảo vệ và phát huy giá trị di tích hang Con Moong, xã Thành Yên, huyện Thạch Thành;</w:t>
      </w:r>
    </w:p>
    <w:p w14:paraId="21EC3F48" w14:textId="77777777" w:rsidR="00000000" w:rsidRDefault="00000000">
      <w:pPr>
        <w:spacing w:before="120" w:after="280" w:afterAutospacing="1"/>
      </w:pPr>
      <w:r>
        <w:rPr>
          <w:i/>
          <w:iCs/>
          <w:lang w:val="vi-VN"/>
        </w:rPr>
        <w:t>Theo đề nghị của Sở Tài chính tại Tờ trình số 5356/STC-ĐT ngày 28/9/2022 (kèm theo Báo cáo kết quả thẩm tra quyết toán dự án hoàn thành ngày 22/9/2022; Tờ trình số 3307/TTr-SVHTTDL ngày 28/7/2022 của Sở Văn hóa Thể thao và Du lịch).</w:t>
      </w:r>
    </w:p>
    <w:p w14:paraId="7F4461E7" w14:textId="77777777" w:rsidR="00000000" w:rsidRDefault="00000000">
      <w:pPr>
        <w:spacing w:before="120" w:after="280" w:afterAutospacing="1"/>
        <w:jc w:val="center"/>
      </w:pPr>
      <w:r>
        <w:rPr>
          <w:b/>
          <w:bCs/>
          <w:lang w:val="vi-VN"/>
        </w:rPr>
        <w:t>QUYẾT ĐỊNH:</w:t>
      </w:r>
    </w:p>
    <w:p w14:paraId="7D6CD652" w14:textId="77777777" w:rsidR="00000000" w:rsidRDefault="00000000">
      <w:pPr>
        <w:spacing w:before="120" w:after="280" w:afterAutospacing="1"/>
      </w:pPr>
      <w:r>
        <w:rPr>
          <w:b/>
          <w:bCs/>
          <w:lang w:val="vi-VN"/>
        </w:rPr>
        <w:t>Điều 1.</w:t>
      </w:r>
      <w:r>
        <w:rPr>
          <w:lang w:val="vi-VN"/>
        </w:rPr>
        <w:t xml:space="preserve"> Phê duyệt quyết toán vốn đầu tư dự án hoàn thành</w:t>
      </w:r>
    </w:p>
    <w:p w14:paraId="53670E49" w14:textId="77777777" w:rsidR="00000000" w:rsidRDefault="00000000">
      <w:pPr>
        <w:spacing w:before="120" w:after="280" w:afterAutospacing="1"/>
      </w:pPr>
      <w:r>
        <w:rPr>
          <w:lang w:val="vi-VN"/>
        </w:rPr>
        <w:t>- Tên dự án: Xây dựng các hạng mục bảo vệ và phát huy giá trị di tích hang Con Moong, xã Thành Yên, huyện Thạch Thành.</w:t>
      </w:r>
    </w:p>
    <w:p w14:paraId="339BE228" w14:textId="77777777" w:rsidR="00000000" w:rsidRDefault="00000000">
      <w:pPr>
        <w:spacing w:before="120" w:after="280" w:afterAutospacing="1"/>
      </w:pPr>
      <w:r>
        <w:rPr>
          <w:lang w:val="vi-VN"/>
        </w:rPr>
        <w:lastRenderedPageBreak/>
        <w:t>- Chủ đầu tư: Sở Văn hóa Thể thao và Du lịch Thanh Hóa.</w:t>
      </w:r>
    </w:p>
    <w:p w14:paraId="7E3FF7FD" w14:textId="77777777" w:rsidR="00000000" w:rsidRDefault="00000000">
      <w:pPr>
        <w:spacing w:before="120" w:after="280" w:afterAutospacing="1"/>
      </w:pPr>
      <w:r>
        <w:rPr>
          <w:lang w:val="vi-VN"/>
        </w:rPr>
        <w:t>- Địa điểm xây dựng: Hang Con Moong, xã Thành Yên, huyện Thạch Thành.</w:t>
      </w:r>
    </w:p>
    <w:p w14:paraId="77198E7B" w14:textId="77777777" w:rsidR="00000000" w:rsidRDefault="00000000">
      <w:pPr>
        <w:spacing w:before="120" w:after="280" w:afterAutospacing="1"/>
      </w:pPr>
      <w:r>
        <w:rPr>
          <w:lang w:val="vi-VN"/>
        </w:rPr>
        <w:t>- Thời gian khởi công, hoàn thành: Từ ngày 09/7/2015- 05/10/2016.</w:t>
      </w:r>
    </w:p>
    <w:p w14:paraId="2A7C0257" w14:textId="77777777" w:rsidR="00000000" w:rsidRDefault="00000000">
      <w:pPr>
        <w:spacing w:before="120" w:after="280" w:afterAutospacing="1"/>
      </w:pPr>
      <w:r>
        <w:rPr>
          <w:b/>
          <w:bCs/>
          <w:lang w:val="vi-VN"/>
        </w:rPr>
        <w:t>Điều 2.</w:t>
      </w:r>
      <w:r>
        <w:rPr>
          <w:lang w:val="vi-VN"/>
        </w:rPr>
        <w:t xml:space="preserve"> Kết quả đầu tư</w:t>
      </w:r>
    </w:p>
    <w:p w14:paraId="72728E9B" w14:textId="77777777" w:rsidR="00000000" w:rsidRDefault="00000000">
      <w:pPr>
        <w:spacing w:before="120" w:after="280" w:afterAutospacing="1"/>
      </w:pPr>
      <w:r>
        <w:rPr>
          <w:lang w:val="vi-VN"/>
        </w:rPr>
        <w:t>1. Chi phí đầu tư:</w:t>
      </w:r>
    </w:p>
    <w:p w14:paraId="2FD5C9B2" w14:textId="77777777" w:rsidR="00000000" w:rsidRDefault="00000000">
      <w:pPr>
        <w:spacing w:before="120" w:after="280" w:afterAutospacing="1"/>
        <w:jc w:val="right"/>
      </w:pPr>
      <w:r>
        <w:rPr>
          <w:i/>
          <w:iCs/>
          <w:lang w:val="vi-VN"/>
        </w:rPr>
        <w:t>Đơn vị: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00"/>
        <w:gridCol w:w="2498"/>
        <w:gridCol w:w="2342"/>
      </w:tblGrid>
      <w:tr w:rsidR="00000000" w14:paraId="737BB011" w14:textId="77777777">
        <w:tc>
          <w:tcPr>
            <w:tcW w:w="240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76F08" w14:textId="77777777" w:rsidR="00000000" w:rsidRDefault="00000000">
            <w:pPr>
              <w:spacing w:before="120"/>
              <w:jc w:val="center"/>
            </w:pPr>
            <w:r>
              <w:rPr>
                <w:b/>
                <w:bCs/>
                <w:lang w:val="vi-VN"/>
              </w:rPr>
              <w:t>Nội dung</w:t>
            </w:r>
          </w:p>
        </w:tc>
        <w:tc>
          <w:tcPr>
            <w:tcW w:w="13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B56AE" w14:textId="77777777" w:rsidR="00000000" w:rsidRDefault="00000000">
            <w:pPr>
              <w:spacing w:before="120"/>
              <w:jc w:val="center"/>
            </w:pPr>
            <w:r>
              <w:rPr>
                <w:b/>
                <w:bCs/>
                <w:lang w:val="vi-VN"/>
              </w:rPr>
              <w:t>Dự toán công trình điều chỉnh lần cuối</w:t>
            </w:r>
          </w:p>
        </w:tc>
        <w:tc>
          <w:tcPr>
            <w:tcW w:w="12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923B6" w14:textId="77777777" w:rsidR="00000000" w:rsidRDefault="00000000">
            <w:pPr>
              <w:spacing w:before="120"/>
              <w:jc w:val="center"/>
            </w:pPr>
            <w:r>
              <w:rPr>
                <w:b/>
                <w:bCs/>
                <w:lang w:val="vi-VN"/>
              </w:rPr>
              <w:t>Giá trị quyết toán</w:t>
            </w:r>
          </w:p>
        </w:tc>
      </w:tr>
      <w:tr w:rsidR="00000000" w14:paraId="0B4008F9" w14:textId="77777777">
        <w:tblPrEx>
          <w:tblBorders>
            <w:top w:val="none" w:sz="0" w:space="0" w:color="auto"/>
            <w:bottom w:val="none" w:sz="0" w:space="0" w:color="auto"/>
            <w:insideH w:val="none" w:sz="0" w:space="0" w:color="auto"/>
            <w:insideV w:val="none" w:sz="0" w:space="0" w:color="auto"/>
          </w:tblBorders>
        </w:tblPrEx>
        <w:tc>
          <w:tcPr>
            <w:tcW w:w="2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E69CB" w14:textId="77777777" w:rsidR="00000000" w:rsidRDefault="00000000">
            <w:pPr>
              <w:spacing w:before="120"/>
              <w:jc w:val="center"/>
            </w:pPr>
            <w:r>
              <w:rPr>
                <w:b/>
                <w:bCs/>
                <w:lang w:val="vi-VN"/>
              </w:rPr>
              <w:t>Tổng số</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D8710" w14:textId="77777777" w:rsidR="00000000" w:rsidRDefault="00000000">
            <w:pPr>
              <w:spacing w:before="120"/>
              <w:jc w:val="right"/>
            </w:pPr>
            <w:r>
              <w:rPr>
                <w:b/>
                <w:bCs/>
                <w:lang w:val="vi-VN"/>
              </w:rPr>
              <w:t>3.993.000.000</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31D18" w14:textId="77777777" w:rsidR="00000000" w:rsidRDefault="00000000">
            <w:pPr>
              <w:spacing w:before="120"/>
              <w:jc w:val="right"/>
            </w:pPr>
            <w:r>
              <w:rPr>
                <w:b/>
                <w:bCs/>
                <w:lang w:val="vi-VN"/>
              </w:rPr>
              <w:t>3.659.451.000</w:t>
            </w:r>
          </w:p>
        </w:tc>
      </w:tr>
      <w:tr w:rsidR="00000000" w14:paraId="519DCE91" w14:textId="77777777">
        <w:tblPrEx>
          <w:tblBorders>
            <w:top w:val="none" w:sz="0" w:space="0" w:color="auto"/>
            <w:bottom w:val="none" w:sz="0" w:space="0" w:color="auto"/>
            <w:insideH w:val="none" w:sz="0" w:space="0" w:color="auto"/>
            <w:insideV w:val="none" w:sz="0" w:space="0" w:color="auto"/>
          </w:tblBorders>
        </w:tblPrEx>
        <w:tc>
          <w:tcPr>
            <w:tcW w:w="2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4F779" w14:textId="77777777" w:rsidR="00000000" w:rsidRDefault="00000000">
            <w:pPr>
              <w:spacing w:before="120"/>
            </w:pPr>
            <w:r>
              <w:rPr>
                <w:lang w:val="vi-VN"/>
              </w:rPr>
              <w:t>- Chi phí xây dựng:</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6AD94" w14:textId="77777777" w:rsidR="00000000" w:rsidRDefault="00000000">
            <w:pPr>
              <w:spacing w:before="120"/>
              <w:jc w:val="right"/>
            </w:pPr>
            <w:r>
              <w:rPr>
                <w:lang w:val="vi-VN"/>
              </w:rPr>
              <w:t>3.235.000.000</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DF1B0" w14:textId="77777777" w:rsidR="00000000" w:rsidRDefault="00000000">
            <w:pPr>
              <w:spacing w:before="120"/>
              <w:jc w:val="right"/>
            </w:pPr>
            <w:r>
              <w:rPr>
                <w:lang w:val="vi-VN"/>
              </w:rPr>
              <w:t>3.219.060.000</w:t>
            </w:r>
          </w:p>
        </w:tc>
      </w:tr>
      <w:tr w:rsidR="00000000" w14:paraId="52D5268A" w14:textId="77777777">
        <w:tblPrEx>
          <w:tblBorders>
            <w:top w:val="none" w:sz="0" w:space="0" w:color="auto"/>
            <w:bottom w:val="none" w:sz="0" w:space="0" w:color="auto"/>
            <w:insideH w:val="none" w:sz="0" w:space="0" w:color="auto"/>
            <w:insideV w:val="none" w:sz="0" w:space="0" w:color="auto"/>
          </w:tblBorders>
        </w:tblPrEx>
        <w:tc>
          <w:tcPr>
            <w:tcW w:w="2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A8484" w14:textId="77777777" w:rsidR="00000000" w:rsidRDefault="00000000">
            <w:pPr>
              <w:spacing w:before="120"/>
            </w:pPr>
            <w:r>
              <w:rPr>
                <w:lang w:val="vi-VN"/>
              </w:rPr>
              <w:t>- Chi phí quản lý dự án:</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A8EBF" w14:textId="77777777" w:rsidR="00000000" w:rsidRDefault="00000000">
            <w:pPr>
              <w:spacing w:before="120"/>
              <w:jc w:val="right"/>
            </w:pPr>
            <w:r>
              <w:rPr>
                <w:lang w:val="vi-VN"/>
              </w:rPr>
              <w:t>74.000.000</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32A93" w14:textId="77777777" w:rsidR="00000000" w:rsidRDefault="00000000">
            <w:pPr>
              <w:spacing w:before="120"/>
              <w:jc w:val="right"/>
            </w:pPr>
            <w:r>
              <w:rPr>
                <w:lang w:val="vi-VN"/>
              </w:rPr>
              <w:t>74.000.000</w:t>
            </w:r>
          </w:p>
        </w:tc>
      </w:tr>
      <w:tr w:rsidR="00000000" w14:paraId="7BE90A8C" w14:textId="77777777">
        <w:tblPrEx>
          <w:tblBorders>
            <w:top w:val="none" w:sz="0" w:space="0" w:color="auto"/>
            <w:bottom w:val="none" w:sz="0" w:space="0" w:color="auto"/>
            <w:insideH w:val="none" w:sz="0" w:space="0" w:color="auto"/>
            <w:insideV w:val="none" w:sz="0" w:space="0" w:color="auto"/>
          </w:tblBorders>
        </w:tblPrEx>
        <w:tc>
          <w:tcPr>
            <w:tcW w:w="2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44D81" w14:textId="77777777" w:rsidR="00000000" w:rsidRDefault="00000000">
            <w:pPr>
              <w:spacing w:before="120"/>
            </w:pPr>
            <w:r>
              <w:rPr>
                <w:lang w:val="vi-VN"/>
              </w:rPr>
              <w:t>- Chi phí tư vấn đầu tư xây dựng:</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E31BE" w14:textId="77777777" w:rsidR="00000000" w:rsidRDefault="00000000">
            <w:pPr>
              <w:spacing w:before="120"/>
              <w:jc w:val="right"/>
            </w:pPr>
            <w:r>
              <w:rPr>
                <w:lang w:val="vi-VN"/>
              </w:rPr>
              <w:t>295.000.000</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724BB" w14:textId="77777777" w:rsidR="00000000" w:rsidRDefault="00000000">
            <w:pPr>
              <w:spacing w:before="120"/>
              <w:jc w:val="right"/>
            </w:pPr>
            <w:r>
              <w:rPr>
                <w:lang w:val="vi-VN"/>
              </w:rPr>
              <w:t>259.914.000</w:t>
            </w:r>
          </w:p>
        </w:tc>
      </w:tr>
      <w:tr w:rsidR="00000000" w14:paraId="3FEA779D" w14:textId="77777777">
        <w:tblPrEx>
          <w:tblBorders>
            <w:top w:val="none" w:sz="0" w:space="0" w:color="auto"/>
            <w:bottom w:val="none" w:sz="0" w:space="0" w:color="auto"/>
            <w:insideH w:val="none" w:sz="0" w:space="0" w:color="auto"/>
            <w:insideV w:val="none" w:sz="0" w:space="0" w:color="auto"/>
          </w:tblBorders>
        </w:tblPrEx>
        <w:tc>
          <w:tcPr>
            <w:tcW w:w="2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69D5D" w14:textId="77777777" w:rsidR="00000000" w:rsidRDefault="00000000">
            <w:pPr>
              <w:spacing w:before="120"/>
            </w:pPr>
            <w:r>
              <w:rPr>
                <w:lang w:val="vi-VN"/>
              </w:rPr>
              <w:t>- Chi phí khác:</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FC00B" w14:textId="77777777" w:rsidR="00000000" w:rsidRDefault="00000000">
            <w:pPr>
              <w:spacing w:before="120"/>
              <w:jc w:val="right"/>
            </w:pPr>
            <w:r>
              <w:rPr>
                <w:lang w:val="vi-VN"/>
              </w:rPr>
              <w:t>26.000.000</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735DF" w14:textId="77777777" w:rsidR="00000000" w:rsidRDefault="00000000">
            <w:pPr>
              <w:spacing w:before="120"/>
              <w:jc w:val="right"/>
            </w:pPr>
            <w:r>
              <w:rPr>
                <w:lang w:val="vi-VN"/>
              </w:rPr>
              <w:t>27.752.000</w:t>
            </w:r>
          </w:p>
        </w:tc>
      </w:tr>
      <w:tr w:rsidR="00000000" w14:paraId="578673B7" w14:textId="77777777">
        <w:tblPrEx>
          <w:tblBorders>
            <w:top w:val="none" w:sz="0" w:space="0" w:color="auto"/>
            <w:bottom w:val="none" w:sz="0" w:space="0" w:color="auto"/>
            <w:insideH w:val="none" w:sz="0" w:space="0" w:color="auto"/>
            <w:insideV w:val="none" w:sz="0" w:space="0" w:color="auto"/>
          </w:tblBorders>
        </w:tblPrEx>
        <w:tc>
          <w:tcPr>
            <w:tcW w:w="2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BA671" w14:textId="77777777" w:rsidR="00000000" w:rsidRDefault="00000000">
            <w:pPr>
              <w:spacing w:before="120"/>
            </w:pPr>
            <w:r>
              <w:rPr>
                <w:lang w:val="vi-VN"/>
              </w:rPr>
              <w:t>- Chi bồi thường GPMB:</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CFFCF" w14:textId="77777777" w:rsidR="00000000" w:rsidRDefault="00000000">
            <w:pPr>
              <w:spacing w:before="120"/>
              <w:jc w:val="right"/>
            </w:pPr>
            <w:r>
              <w:rPr>
                <w:lang w:val="vi-VN"/>
              </w:rPr>
              <w:t>78.725.000</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EA255" w14:textId="77777777" w:rsidR="00000000" w:rsidRDefault="00000000">
            <w:pPr>
              <w:spacing w:before="120"/>
              <w:jc w:val="right"/>
            </w:pPr>
            <w:r>
              <w:rPr>
                <w:lang w:val="vi-VN"/>
              </w:rPr>
              <w:t>78.725.000</w:t>
            </w:r>
          </w:p>
        </w:tc>
      </w:tr>
      <w:tr w:rsidR="00000000" w14:paraId="689203AD" w14:textId="77777777">
        <w:tblPrEx>
          <w:tblBorders>
            <w:top w:val="none" w:sz="0" w:space="0" w:color="auto"/>
            <w:bottom w:val="none" w:sz="0" w:space="0" w:color="auto"/>
            <w:insideH w:val="none" w:sz="0" w:space="0" w:color="auto"/>
            <w:insideV w:val="none" w:sz="0" w:space="0" w:color="auto"/>
          </w:tblBorders>
        </w:tblPrEx>
        <w:tc>
          <w:tcPr>
            <w:tcW w:w="24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20F57" w14:textId="77777777" w:rsidR="00000000" w:rsidRDefault="00000000">
            <w:pPr>
              <w:spacing w:before="120"/>
            </w:pPr>
            <w:r>
              <w:rPr>
                <w:lang w:val="vi-VN"/>
              </w:rPr>
              <w:t>- Chi phí dự phòng</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370F8" w14:textId="77777777" w:rsidR="00000000" w:rsidRDefault="00000000">
            <w:pPr>
              <w:spacing w:before="120"/>
              <w:jc w:val="right"/>
            </w:pPr>
            <w:r>
              <w:rPr>
                <w:lang w:val="vi-VN"/>
              </w:rPr>
              <w:t>284.275.000</w:t>
            </w:r>
          </w:p>
        </w:tc>
        <w:tc>
          <w:tcPr>
            <w:tcW w:w="1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1B74F" w14:textId="77777777" w:rsidR="00000000" w:rsidRDefault="00000000">
            <w:pPr>
              <w:spacing w:before="120"/>
              <w:jc w:val="right"/>
            </w:pPr>
            <w:r>
              <w:rPr>
                <w:lang w:val="vi-VN"/>
              </w:rPr>
              <w:t> </w:t>
            </w:r>
          </w:p>
        </w:tc>
      </w:tr>
    </w:tbl>
    <w:p w14:paraId="44A3E39B" w14:textId="77777777" w:rsidR="00000000" w:rsidRDefault="00000000">
      <w:pPr>
        <w:spacing w:before="120" w:after="280" w:afterAutospacing="1"/>
      </w:pPr>
      <w:r>
        <w:rPr>
          <w:lang w:val="vi-VN"/>
        </w:rPr>
        <w:t>2. Nguồn vốn đầu tư:</w:t>
      </w:r>
    </w:p>
    <w:p w14:paraId="5E5F9064" w14:textId="77777777" w:rsidR="00000000" w:rsidRDefault="00000000">
      <w:pPr>
        <w:spacing w:before="120" w:after="280" w:afterAutospacing="1"/>
        <w:jc w:val="right"/>
      </w:pPr>
      <w:r>
        <w:rPr>
          <w:i/>
          <w:iCs/>
          <w:lang w:val="vi-VN"/>
        </w:rPr>
        <w:t>Đơn vị: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44"/>
        <w:gridCol w:w="1659"/>
        <w:gridCol w:w="1435"/>
        <w:gridCol w:w="1401"/>
        <w:gridCol w:w="1401"/>
      </w:tblGrid>
      <w:tr w:rsidR="00D6372D" w14:paraId="3EA109C5" w14:textId="77777777" w:rsidTr="00D6372D">
        <w:tc>
          <w:tcPr>
            <w:tcW w:w="184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3396D" w14:textId="77777777" w:rsidR="00000000" w:rsidRDefault="00000000">
            <w:pPr>
              <w:spacing w:before="120"/>
              <w:jc w:val="center"/>
            </w:pPr>
            <w:r>
              <w:rPr>
                <w:b/>
                <w:bCs/>
                <w:lang w:val="vi-VN"/>
              </w:rPr>
              <w:t>Nguồn vốn</w:t>
            </w:r>
          </w:p>
        </w:tc>
        <w:tc>
          <w:tcPr>
            <w:tcW w:w="88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ED00F" w14:textId="77777777" w:rsidR="00000000" w:rsidRDefault="00000000">
            <w:pPr>
              <w:spacing w:before="120"/>
              <w:jc w:val="center"/>
            </w:pPr>
            <w:r>
              <w:rPr>
                <w:b/>
                <w:bCs/>
                <w:lang w:val="vi-VN"/>
              </w:rPr>
              <w:t>Dự toán công trình điều chỉnh lần cuối</w:t>
            </w:r>
          </w:p>
        </w:tc>
        <w:tc>
          <w:tcPr>
            <w:tcW w:w="7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0918A" w14:textId="77777777" w:rsidR="00000000" w:rsidRDefault="00000000">
            <w:pPr>
              <w:spacing w:before="120"/>
              <w:jc w:val="center"/>
            </w:pPr>
            <w:r>
              <w:rPr>
                <w:b/>
                <w:bCs/>
                <w:lang w:val="vi-VN"/>
              </w:rPr>
              <w:t>Giá trị phê duyệt quyết toán</w:t>
            </w:r>
          </w:p>
        </w:tc>
        <w:tc>
          <w:tcPr>
            <w:tcW w:w="150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C168C" w14:textId="77777777" w:rsidR="00000000" w:rsidRDefault="00000000">
            <w:pPr>
              <w:spacing w:before="120"/>
              <w:jc w:val="center"/>
            </w:pPr>
            <w:r>
              <w:rPr>
                <w:b/>
                <w:bCs/>
                <w:lang w:val="vi-VN"/>
              </w:rPr>
              <w:t>Thực hiện</w:t>
            </w:r>
          </w:p>
        </w:tc>
      </w:tr>
      <w:tr w:rsidR="00000000" w14:paraId="0E0CFE0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3009A3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9290D0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6E62967" w14:textId="77777777" w:rsidR="00000000" w:rsidRDefault="00000000">
            <w:pPr>
              <w:spacing w:before="120"/>
              <w:jc w:val="center"/>
            </w:pP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F160E" w14:textId="77777777" w:rsidR="00000000" w:rsidRDefault="00000000">
            <w:pPr>
              <w:spacing w:before="120"/>
              <w:jc w:val="center"/>
            </w:pPr>
            <w:r>
              <w:rPr>
                <w:b/>
                <w:bCs/>
                <w:i/>
                <w:iCs/>
                <w:lang w:val="vi-VN"/>
              </w:rPr>
              <w:t>Số vốn đã thanh toán</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DF56C" w14:textId="77777777" w:rsidR="00000000" w:rsidRDefault="00000000">
            <w:pPr>
              <w:spacing w:before="120"/>
              <w:jc w:val="center"/>
            </w:pPr>
            <w:r>
              <w:rPr>
                <w:b/>
                <w:bCs/>
                <w:i/>
                <w:iCs/>
                <w:lang w:val="vi-VN"/>
              </w:rPr>
              <w:t>Còn phải thanh toán</w:t>
            </w:r>
          </w:p>
        </w:tc>
      </w:tr>
      <w:tr w:rsidR="00000000" w14:paraId="1B205AFA" w14:textId="77777777">
        <w:tblPrEx>
          <w:tblBorders>
            <w:top w:val="none" w:sz="0" w:space="0" w:color="auto"/>
            <w:bottom w:val="none" w:sz="0" w:space="0" w:color="auto"/>
            <w:insideH w:val="none" w:sz="0" w:space="0" w:color="auto"/>
            <w:insideV w:val="none" w:sz="0" w:space="0" w:color="auto"/>
          </w:tblBorders>
        </w:tblPrEx>
        <w:tc>
          <w:tcPr>
            <w:tcW w:w="18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98166" w14:textId="77777777" w:rsidR="00000000" w:rsidRDefault="00000000">
            <w:pPr>
              <w:spacing w:before="120"/>
              <w:jc w:val="center"/>
            </w:pPr>
            <w:r>
              <w:rPr>
                <w:i/>
                <w:iCs/>
                <w:lang w:val="vi-VN"/>
              </w:rPr>
              <w:t>1</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5E466" w14:textId="77777777" w:rsidR="00000000" w:rsidRDefault="00000000">
            <w:pPr>
              <w:spacing w:before="120"/>
              <w:jc w:val="center"/>
            </w:pPr>
            <w:r>
              <w:rPr>
                <w:i/>
                <w:iCs/>
                <w:lang w:val="vi-VN"/>
              </w:rPr>
              <w:t>2</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7D553" w14:textId="77777777" w:rsidR="00000000" w:rsidRDefault="00000000">
            <w:pPr>
              <w:spacing w:before="120"/>
              <w:jc w:val="center"/>
            </w:pPr>
            <w:r>
              <w:rPr>
                <w:i/>
                <w:iCs/>
                <w:lang w:val="vi-VN"/>
              </w:rPr>
              <w:t>3</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FBACD" w14:textId="77777777" w:rsidR="00000000" w:rsidRDefault="00000000">
            <w:pPr>
              <w:spacing w:before="120"/>
              <w:jc w:val="center"/>
            </w:pPr>
            <w:r>
              <w:rPr>
                <w:i/>
                <w:iCs/>
                <w:lang w:val="vi-VN"/>
              </w:rPr>
              <w:t>4</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E28CF" w14:textId="77777777" w:rsidR="00000000" w:rsidRDefault="00000000">
            <w:pPr>
              <w:spacing w:before="120"/>
              <w:jc w:val="center"/>
            </w:pPr>
            <w:r>
              <w:rPr>
                <w:i/>
                <w:iCs/>
                <w:lang w:val="vi-VN"/>
              </w:rPr>
              <w:t>5=3-4</w:t>
            </w:r>
          </w:p>
        </w:tc>
      </w:tr>
      <w:tr w:rsidR="00000000" w14:paraId="3DDA6AF8" w14:textId="77777777">
        <w:tblPrEx>
          <w:tblBorders>
            <w:top w:val="none" w:sz="0" w:space="0" w:color="auto"/>
            <w:bottom w:val="none" w:sz="0" w:space="0" w:color="auto"/>
            <w:insideH w:val="none" w:sz="0" w:space="0" w:color="auto"/>
            <w:insideV w:val="none" w:sz="0" w:space="0" w:color="auto"/>
          </w:tblBorders>
        </w:tblPrEx>
        <w:tc>
          <w:tcPr>
            <w:tcW w:w="18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EF120" w14:textId="77777777" w:rsidR="00000000" w:rsidRDefault="00000000">
            <w:pPr>
              <w:spacing w:before="120"/>
              <w:jc w:val="center"/>
            </w:pPr>
            <w:r>
              <w:rPr>
                <w:b/>
                <w:bCs/>
                <w:lang w:val="vi-VN"/>
              </w:rPr>
              <w:t>Tổng số:</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53D54" w14:textId="77777777" w:rsidR="00000000" w:rsidRDefault="00000000">
            <w:pPr>
              <w:spacing w:before="120"/>
              <w:jc w:val="right"/>
            </w:pPr>
            <w:r>
              <w:rPr>
                <w:b/>
                <w:bCs/>
                <w:lang w:val="vi-VN"/>
              </w:rPr>
              <w:t>3.993.000.000</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E9E27" w14:textId="77777777" w:rsidR="00000000" w:rsidRDefault="00000000">
            <w:pPr>
              <w:spacing w:before="120"/>
              <w:jc w:val="right"/>
            </w:pPr>
            <w:r>
              <w:rPr>
                <w:b/>
                <w:bCs/>
                <w:lang w:val="vi-VN"/>
              </w:rPr>
              <w:t>3.659.451.000</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60173" w14:textId="77777777" w:rsidR="00000000" w:rsidRDefault="00000000">
            <w:pPr>
              <w:spacing w:before="120"/>
              <w:jc w:val="right"/>
            </w:pPr>
            <w:r>
              <w:rPr>
                <w:b/>
                <w:bCs/>
                <w:lang w:val="vi-VN"/>
              </w:rPr>
              <w:t>3.380.990.000</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29D53" w14:textId="77777777" w:rsidR="00000000" w:rsidRDefault="00000000">
            <w:pPr>
              <w:spacing w:before="120"/>
              <w:jc w:val="right"/>
            </w:pPr>
            <w:r>
              <w:rPr>
                <w:b/>
                <w:bCs/>
                <w:lang w:val="vi-VN"/>
              </w:rPr>
              <w:t>278.461.000</w:t>
            </w:r>
          </w:p>
        </w:tc>
      </w:tr>
      <w:tr w:rsidR="00000000" w14:paraId="7CC604C0" w14:textId="77777777">
        <w:tblPrEx>
          <w:tblBorders>
            <w:top w:val="none" w:sz="0" w:space="0" w:color="auto"/>
            <w:bottom w:val="none" w:sz="0" w:space="0" w:color="auto"/>
            <w:insideH w:val="none" w:sz="0" w:space="0" w:color="auto"/>
            <w:insideV w:val="none" w:sz="0" w:space="0" w:color="auto"/>
          </w:tblBorders>
        </w:tblPrEx>
        <w:tc>
          <w:tcPr>
            <w:tcW w:w="18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6828F" w14:textId="77777777" w:rsidR="00000000" w:rsidRDefault="00000000">
            <w:pPr>
              <w:spacing w:before="120"/>
            </w:pPr>
            <w:r>
              <w:rPr>
                <w:lang w:val="vi-VN"/>
              </w:rPr>
              <w:t>Nguồn vốn chương trình MTQG về văn hóa; ngân sách tỉnh và các nguồn huy động hợp pháp khác.</w:t>
            </w:r>
          </w:p>
        </w:tc>
        <w:tc>
          <w:tcPr>
            <w:tcW w:w="8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B9951" w14:textId="77777777" w:rsidR="00000000" w:rsidRDefault="00000000">
            <w:pPr>
              <w:spacing w:before="120"/>
              <w:jc w:val="right"/>
            </w:pPr>
            <w:r>
              <w:rPr>
                <w:lang w:val="vi-VN"/>
              </w:rPr>
              <w:t>3.993.000.000</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58B86" w14:textId="77777777" w:rsidR="00000000" w:rsidRDefault="00000000">
            <w:pPr>
              <w:spacing w:before="120"/>
              <w:jc w:val="right"/>
            </w:pPr>
            <w:r>
              <w:rPr>
                <w:lang w:val="vi-VN"/>
              </w:rPr>
              <w:t>3.659.451.000</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65803" w14:textId="77777777" w:rsidR="00000000" w:rsidRDefault="00000000">
            <w:pPr>
              <w:spacing w:before="120"/>
              <w:jc w:val="right"/>
            </w:pPr>
            <w:r>
              <w:rPr>
                <w:lang w:val="vi-VN"/>
              </w:rPr>
              <w:t>3.380.990.000</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B5E1B" w14:textId="77777777" w:rsidR="00000000" w:rsidRDefault="00000000">
            <w:pPr>
              <w:spacing w:before="120"/>
              <w:jc w:val="right"/>
            </w:pPr>
            <w:r>
              <w:rPr>
                <w:lang w:val="vi-VN"/>
              </w:rPr>
              <w:t>278.461.000</w:t>
            </w:r>
          </w:p>
        </w:tc>
      </w:tr>
    </w:tbl>
    <w:p w14:paraId="53B13CE0" w14:textId="77777777" w:rsidR="00000000" w:rsidRDefault="00000000">
      <w:pPr>
        <w:spacing w:before="120" w:after="280" w:afterAutospacing="1"/>
      </w:pPr>
      <w:r>
        <w:rPr>
          <w:lang w:val="vi-VN"/>
        </w:rPr>
        <w:t>3. Chi phí đầu tư được phép không tính vào giá trị tài sản: Không.</w:t>
      </w:r>
    </w:p>
    <w:p w14:paraId="5179326B" w14:textId="77777777" w:rsidR="00000000" w:rsidRDefault="00000000">
      <w:pPr>
        <w:spacing w:before="120" w:after="280" w:afterAutospacing="1"/>
      </w:pPr>
      <w:r>
        <w:rPr>
          <w:lang w:val="vi-VN"/>
        </w:rPr>
        <w:t>4. Giá trị tài sản hình thành qua đầu tư:</w:t>
      </w:r>
    </w:p>
    <w:p w14:paraId="319012EE" w14:textId="77777777" w:rsidR="00000000" w:rsidRDefault="00000000">
      <w:pPr>
        <w:spacing w:before="120" w:after="280" w:afterAutospacing="1"/>
        <w:jc w:val="right"/>
      </w:pPr>
      <w:r>
        <w:rPr>
          <w:i/>
          <w:iCs/>
          <w:lang w:val="vi-VN"/>
        </w:rPr>
        <w:t>Đơn vị: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3"/>
        <w:gridCol w:w="3777"/>
        <w:gridCol w:w="1026"/>
        <w:gridCol w:w="1011"/>
        <w:gridCol w:w="1801"/>
        <w:gridCol w:w="962"/>
      </w:tblGrid>
      <w:tr w:rsidR="00D6372D" w14:paraId="124F46BD" w14:textId="77777777" w:rsidTr="00D6372D">
        <w:tc>
          <w:tcPr>
            <w:tcW w:w="40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3090D" w14:textId="77777777" w:rsidR="00000000" w:rsidRDefault="00000000">
            <w:pPr>
              <w:spacing w:before="120"/>
              <w:jc w:val="center"/>
            </w:pPr>
            <w:r>
              <w:rPr>
                <w:b/>
                <w:bCs/>
                <w:lang w:val="vi-VN"/>
              </w:rPr>
              <w:t>STT</w:t>
            </w:r>
          </w:p>
        </w:tc>
        <w:tc>
          <w:tcPr>
            <w:tcW w:w="202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F3AB2" w14:textId="77777777" w:rsidR="00000000" w:rsidRDefault="00000000">
            <w:pPr>
              <w:spacing w:before="120"/>
              <w:jc w:val="center"/>
            </w:pPr>
            <w:r>
              <w:rPr>
                <w:b/>
                <w:bCs/>
                <w:lang w:val="vi-VN"/>
              </w:rPr>
              <w:t>Nội dung</w:t>
            </w:r>
          </w:p>
        </w:tc>
        <w:tc>
          <w:tcPr>
            <w:tcW w:w="109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BABFB" w14:textId="77777777" w:rsidR="00000000" w:rsidRDefault="00000000">
            <w:pPr>
              <w:spacing w:before="120"/>
              <w:jc w:val="center"/>
            </w:pPr>
            <w:r>
              <w:rPr>
                <w:b/>
                <w:bCs/>
                <w:lang w:val="vi-VN"/>
              </w:rPr>
              <w:t>Thuộc chủ đầu tư quản lý</w:t>
            </w:r>
          </w:p>
        </w:tc>
        <w:tc>
          <w:tcPr>
            <w:tcW w:w="147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912E1" w14:textId="77777777" w:rsidR="00000000" w:rsidRDefault="00000000">
            <w:pPr>
              <w:spacing w:before="120"/>
              <w:jc w:val="center"/>
            </w:pPr>
            <w:r>
              <w:rPr>
                <w:b/>
                <w:bCs/>
                <w:lang w:val="vi-VN"/>
              </w:rPr>
              <w:t>Giao đơn vị khác quản lý</w:t>
            </w:r>
          </w:p>
        </w:tc>
      </w:tr>
      <w:tr w:rsidR="00000000" w14:paraId="1A82907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659748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0D793BE" w14:textId="77777777" w:rsidR="00000000" w:rsidRDefault="00000000">
            <w:pPr>
              <w:spacing w:before="120"/>
              <w:jc w:val="center"/>
            </w:pP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BA4CE" w14:textId="77777777" w:rsidR="00000000" w:rsidRDefault="00000000">
            <w:pPr>
              <w:spacing w:before="120"/>
              <w:jc w:val="center"/>
            </w:pPr>
            <w:r>
              <w:rPr>
                <w:b/>
                <w:bCs/>
                <w:i/>
                <w:iCs/>
                <w:lang w:val="vi-VN"/>
              </w:rPr>
              <w:t>Giá tr</w:t>
            </w:r>
            <w:r>
              <w:rPr>
                <w:b/>
                <w:bCs/>
                <w:i/>
                <w:iCs/>
              </w:rPr>
              <w:t>ị thực tế</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E694C" w14:textId="77777777" w:rsidR="00000000" w:rsidRDefault="00000000">
            <w:pPr>
              <w:spacing w:before="120"/>
              <w:jc w:val="center"/>
            </w:pPr>
            <w:r>
              <w:rPr>
                <w:b/>
                <w:bCs/>
                <w:i/>
                <w:iCs/>
                <w:lang w:val="vi-VN"/>
              </w:rPr>
              <w:t>Giá tr</w:t>
            </w:r>
            <w:r>
              <w:rPr>
                <w:b/>
                <w:bCs/>
                <w:i/>
                <w:iCs/>
              </w:rPr>
              <w:t>ị</w:t>
            </w:r>
            <w:r>
              <w:rPr>
                <w:b/>
                <w:bCs/>
                <w:i/>
                <w:iCs/>
                <w:lang w:val="vi-VN"/>
              </w:rPr>
              <w:t xml:space="preserve"> quy đ</w:t>
            </w:r>
            <w:r>
              <w:rPr>
                <w:b/>
                <w:bCs/>
                <w:i/>
                <w:iCs/>
              </w:rPr>
              <w:t>ổ</w:t>
            </w:r>
            <w:r>
              <w:rPr>
                <w:b/>
                <w:bCs/>
                <w:i/>
                <w:iCs/>
                <w:lang w:val="vi-VN"/>
              </w:rPr>
              <w:t>i</w:t>
            </w:r>
          </w:p>
        </w:tc>
        <w:tc>
          <w:tcPr>
            <w:tcW w:w="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A691E" w14:textId="77777777" w:rsidR="00000000" w:rsidRDefault="00000000">
            <w:pPr>
              <w:spacing w:before="120"/>
              <w:jc w:val="center"/>
            </w:pPr>
            <w:r>
              <w:rPr>
                <w:b/>
                <w:bCs/>
                <w:i/>
                <w:iCs/>
                <w:lang w:val="vi-VN"/>
              </w:rPr>
              <w:t>Giá tr</w:t>
            </w:r>
            <w:r>
              <w:rPr>
                <w:b/>
                <w:bCs/>
                <w:i/>
                <w:iCs/>
              </w:rPr>
              <w:t>ị thực tế</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F7BF1" w14:textId="77777777" w:rsidR="00000000" w:rsidRDefault="00000000">
            <w:pPr>
              <w:spacing w:before="120"/>
              <w:jc w:val="center"/>
            </w:pPr>
            <w:r>
              <w:rPr>
                <w:b/>
                <w:bCs/>
                <w:i/>
                <w:iCs/>
                <w:lang w:val="vi-VN"/>
              </w:rPr>
              <w:t>Giá tr</w:t>
            </w:r>
            <w:r>
              <w:rPr>
                <w:b/>
                <w:bCs/>
                <w:i/>
                <w:iCs/>
              </w:rPr>
              <w:t>ị</w:t>
            </w:r>
            <w:r>
              <w:rPr>
                <w:b/>
                <w:bCs/>
                <w:i/>
                <w:iCs/>
                <w:lang w:val="vi-VN"/>
              </w:rPr>
              <w:t xml:space="preserve"> quy đ</w:t>
            </w:r>
            <w:r>
              <w:rPr>
                <w:b/>
                <w:bCs/>
                <w:i/>
                <w:iCs/>
              </w:rPr>
              <w:t>ổ</w:t>
            </w:r>
            <w:r>
              <w:rPr>
                <w:b/>
                <w:bCs/>
                <w:i/>
                <w:iCs/>
                <w:lang w:val="vi-VN"/>
              </w:rPr>
              <w:t>i</w:t>
            </w:r>
          </w:p>
        </w:tc>
      </w:tr>
      <w:tr w:rsidR="00000000" w14:paraId="16A27F63" w14:textId="77777777">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BE1E5" w14:textId="77777777" w:rsidR="00000000" w:rsidRDefault="00000000">
            <w:pPr>
              <w:spacing w:before="120"/>
              <w:jc w:val="center"/>
            </w:pPr>
            <w:r>
              <w:rPr>
                <w:b/>
                <w:bCs/>
                <w:lang w:val="vi-VN"/>
              </w:rPr>
              <w:t> </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5D36C" w14:textId="77777777" w:rsidR="00000000" w:rsidRDefault="00000000">
            <w:pPr>
              <w:spacing w:before="120"/>
              <w:jc w:val="center"/>
            </w:pPr>
            <w:r>
              <w:rPr>
                <w:b/>
                <w:bCs/>
                <w:lang w:val="vi-VN"/>
              </w:rPr>
              <w:t>Tổng số</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CD024" w14:textId="77777777" w:rsidR="00000000" w:rsidRDefault="00000000">
            <w:pPr>
              <w:spacing w:before="120"/>
              <w:jc w:val="center"/>
            </w:pPr>
            <w:r>
              <w:rPr>
                <w:b/>
                <w:bCs/>
                <w:lang w:val="vi-VN"/>
              </w:rP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9E34D" w14:textId="77777777" w:rsidR="00000000" w:rsidRDefault="00000000">
            <w:pPr>
              <w:spacing w:before="120"/>
              <w:jc w:val="center"/>
            </w:pPr>
            <w:r>
              <w:rPr>
                <w:b/>
                <w:bCs/>
                <w:lang w:val="vi-VN"/>
              </w:rPr>
              <w:t> </w:t>
            </w:r>
          </w:p>
        </w:tc>
        <w:tc>
          <w:tcPr>
            <w:tcW w:w="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1BBF0" w14:textId="77777777" w:rsidR="00000000" w:rsidRDefault="00000000">
            <w:pPr>
              <w:spacing w:before="120"/>
              <w:jc w:val="right"/>
            </w:pPr>
            <w:r>
              <w:rPr>
                <w:b/>
                <w:bCs/>
                <w:lang w:val="vi-VN"/>
              </w:rPr>
              <w:t>3.659.451.000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3E485" w14:textId="77777777" w:rsidR="00000000" w:rsidRDefault="00000000">
            <w:pPr>
              <w:spacing w:before="120"/>
              <w:jc w:val="center"/>
            </w:pPr>
            <w:r>
              <w:rPr>
                <w:b/>
                <w:bCs/>
                <w:lang w:val="vi-VN"/>
              </w:rPr>
              <w:t> </w:t>
            </w:r>
          </w:p>
        </w:tc>
      </w:tr>
      <w:tr w:rsidR="00000000" w14:paraId="4E97A974" w14:textId="77777777">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DADDD" w14:textId="77777777" w:rsidR="00000000" w:rsidRDefault="00000000">
            <w:pPr>
              <w:spacing w:before="120"/>
              <w:jc w:val="center"/>
            </w:pPr>
            <w:r>
              <w:rPr>
                <w:lang w:val="vi-VN"/>
              </w:rPr>
              <w:t>1</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3DA45" w14:textId="77777777" w:rsidR="00000000" w:rsidRDefault="00000000">
            <w:pPr>
              <w:spacing w:before="120"/>
            </w:pPr>
            <w:r>
              <w:rPr>
                <w:lang w:val="vi-VN"/>
              </w:rPr>
              <w:t>Tài sản dài hạn (tài sản cố định)</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93A97" w14:textId="77777777" w:rsidR="00000000" w:rsidRDefault="00000000">
            <w:pPr>
              <w:spacing w:before="120"/>
              <w:jc w:val="center"/>
            </w:pPr>
            <w:r>
              <w:rPr>
                <w:lang w:val="vi-VN"/>
              </w:rP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9B587" w14:textId="77777777" w:rsidR="00000000" w:rsidRDefault="00000000">
            <w:pPr>
              <w:spacing w:before="120"/>
              <w:jc w:val="center"/>
            </w:pPr>
            <w:r>
              <w:rPr>
                <w:lang w:val="vi-VN"/>
              </w:rPr>
              <w:t> </w:t>
            </w:r>
          </w:p>
        </w:tc>
        <w:tc>
          <w:tcPr>
            <w:tcW w:w="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5F3DA" w14:textId="77777777" w:rsidR="00000000" w:rsidRDefault="00000000">
            <w:pPr>
              <w:spacing w:before="120"/>
              <w:jc w:val="right"/>
            </w:pPr>
            <w:r>
              <w:rPr>
                <w:lang w:val="vi-VN"/>
              </w:rPr>
              <w:t>3.659.451.000</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8DD1E" w14:textId="77777777" w:rsidR="00000000" w:rsidRDefault="00000000">
            <w:pPr>
              <w:spacing w:before="120"/>
              <w:jc w:val="center"/>
            </w:pPr>
            <w:r>
              <w:rPr>
                <w:lang w:val="vi-VN"/>
              </w:rPr>
              <w:t> </w:t>
            </w:r>
          </w:p>
        </w:tc>
      </w:tr>
      <w:tr w:rsidR="00000000" w14:paraId="6E1857FD" w14:textId="77777777">
        <w:tblPrEx>
          <w:tblBorders>
            <w:top w:val="none" w:sz="0" w:space="0" w:color="auto"/>
            <w:bottom w:val="none" w:sz="0" w:space="0" w:color="auto"/>
            <w:insideH w:val="none" w:sz="0" w:space="0" w:color="auto"/>
            <w:insideV w:val="none" w:sz="0" w:space="0" w:color="auto"/>
          </w:tblBorders>
        </w:tblPrEx>
        <w:tc>
          <w:tcPr>
            <w:tcW w:w="4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CB403" w14:textId="77777777" w:rsidR="00000000" w:rsidRDefault="00000000">
            <w:pPr>
              <w:spacing w:before="120"/>
              <w:jc w:val="center"/>
            </w:pPr>
            <w:r>
              <w:rPr>
                <w:lang w:val="vi-VN"/>
              </w:rPr>
              <w:t>2</w:t>
            </w:r>
          </w:p>
        </w:tc>
        <w:tc>
          <w:tcPr>
            <w:tcW w:w="2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2AE02" w14:textId="77777777" w:rsidR="00000000" w:rsidRDefault="00000000">
            <w:pPr>
              <w:spacing w:before="120"/>
            </w:pPr>
            <w:r>
              <w:rPr>
                <w:lang w:val="vi-VN"/>
              </w:rPr>
              <w:t>Tài sản ngắn hạn</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A512D" w14:textId="77777777" w:rsidR="00000000" w:rsidRDefault="00000000">
            <w:pPr>
              <w:spacing w:before="120"/>
              <w:jc w:val="center"/>
            </w:pPr>
            <w:r>
              <w:rPr>
                <w:lang w:val="vi-VN"/>
              </w:rP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90C01" w14:textId="77777777" w:rsidR="00000000" w:rsidRDefault="00000000">
            <w:pPr>
              <w:spacing w:before="120"/>
              <w:jc w:val="center"/>
            </w:pPr>
            <w:r>
              <w:rPr>
                <w:lang w:val="vi-VN"/>
              </w:rPr>
              <w:t> </w:t>
            </w:r>
          </w:p>
        </w:tc>
        <w:tc>
          <w:tcPr>
            <w:tcW w:w="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E6858" w14:textId="77777777" w:rsidR="00000000" w:rsidRDefault="00000000">
            <w:pPr>
              <w:spacing w:before="120"/>
              <w:jc w:val="center"/>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5B39D" w14:textId="77777777" w:rsidR="00000000" w:rsidRDefault="00000000">
            <w:pPr>
              <w:spacing w:before="120"/>
              <w:jc w:val="center"/>
            </w:pPr>
            <w:r>
              <w:rPr>
                <w:lang w:val="vi-VN"/>
              </w:rPr>
              <w:t> </w:t>
            </w:r>
          </w:p>
        </w:tc>
      </w:tr>
    </w:tbl>
    <w:p w14:paraId="36F46977" w14:textId="77777777" w:rsidR="00000000" w:rsidRDefault="00000000">
      <w:pPr>
        <w:spacing w:before="120" w:after="280" w:afterAutospacing="1"/>
      </w:pPr>
      <w:r>
        <w:rPr>
          <w:lang w:val="vi-VN"/>
        </w:rPr>
        <w:t>5. Vật tư thiết bị tồn đọng: Không</w:t>
      </w:r>
    </w:p>
    <w:p w14:paraId="597ECB14" w14:textId="77777777" w:rsidR="00000000" w:rsidRDefault="00000000">
      <w:pPr>
        <w:spacing w:before="120" w:after="280" w:afterAutospacing="1"/>
      </w:pPr>
      <w:r>
        <w:rPr>
          <w:b/>
          <w:bCs/>
          <w:lang w:val="vi-VN"/>
        </w:rPr>
        <w:t>Điều 3.</w:t>
      </w:r>
      <w:r>
        <w:rPr>
          <w:lang w:val="vi-VN"/>
        </w:rPr>
        <w:t xml:space="preserve"> Trách nhiệm của chủ đầu tư và các đơn vị liên quan</w:t>
      </w:r>
    </w:p>
    <w:p w14:paraId="704197BA" w14:textId="77777777" w:rsidR="00000000" w:rsidRDefault="00000000">
      <w:pPr>
        <w:spacing w:before="120" w:after="280" w:afterAutospacing="1"/>
      </w:pPr>
      <w:r>
        <w:rPr>
          <w:lang w:val="vi-VN"/>
        </w:rPr>
        <w:t>1. Trách nhiệm của Chủ đầu tư:</w:t>
      </w:r>
    </w:p>
    <w:p w14:paraId="1F66B621" w14:textId="77777777" w:rsidR="00000000" w:rsidRDefault="00000000">
      <w:pPr>
        <w:spacing w:before="120" w:after="280" w:afterAutospacing="1"/>
      </w:pPr>
      <w:r>
        <w:rPr>
          <w:lang w:val="vi-VN"/>
        </w:rPr>
        <w:t>1.1. Được phép tất toán chi phí và nguồn vốn đầu tư là:</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63"/>
        <w:gridCol w:w="2195"/>
        <w:gridCol w:w="1382"/>
      </w:tblGrid>
      <w:tr w:rsidR="00000000" w14:paraId="4C709BAC" w14:textId="77777777">
        <w:tc>
          <w:tcPr>
            <w:tcW w:w="30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5D7B2" w14:textId="77777777" w:rsidR="00000000" w:rsidRDefault="00000000">
            <w:pPr>
              <w:spacing w:before="120"/>
              <w:jc w:val="center"/>
            </w:pPr>
            <w:r>
              <w:rPr>
                <w:b/>
                <w:bCs/>
                <w:lang w:val="vi-VN"/>
              </w:rPr>
              <w:t>Nguồn vốn</w:t>
            </w:r>
          </w:p>
        </w:tc>
        <w:tc>
          <w:tcPr>
            <w:tcW w:w="11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09AFC" w14:textId="77777777" w:rsidR="00000000" w:rsidRDefault="00000000">
            <w:pPr>
              <w:spacing w:before="120"/>
              <w:jc w:val="center"/>
            </w:pPr>
            <w:r>
              <w:rPr>
                <w:b/>
                <w:bCs/>
                <w:lang w:val="vi-VN"/>
              </w:rPr>
              <w:t>Số tiền (đồng)</w:t>
            </w:r>
          </w:p>
        </w:tc>
        <w:tc>
          <w:tcPr>
            <w:tcW w:w="7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68ECA" w14:textId="77777777" w:rsidR="00000000" w:rsidRDefault="00000000">
            <w:pPr>
              <w:spacing w:before="120"/>
              <w:jc w:val="center"/>
            </w:pPr>
            <w:r>
              <w:rPr>
                <w:b/>
                <w:bCs/>
                <w:lang w:val="vi-VN"/>
              </w:rPr>
              <w:t>Ghi chú</w:t>
            </w:r>
          </w:p>
        </w:tc>
      </w:tr>
      <w:tr w:rsidR="00000000" w14:paraId="28A3507B" w14:textId="77777777">
        <w:tblPrEx>
          <w:tblBorders>
            <w:top w:val="none" w:sz="0" w:space="0" w:color="auto"/>
            <w:bottom w:val="none" w:sz="0" w:space="0" w:color="auto"/>
            <w:insideH w:val="none" w:sz="0" w:space="0" w:color="auto"/>
            <w:insideV w:val="none" w:sz="0" w:space="0" w:color="auto"/>
          </w:tblBorders>
        </w:tblPrEx>
        <w:tc>
          <w:tcPr>
            <w:tcW w:w="30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0E97B" w14:textId="77777777" w:rsidR="00000000" w:rsidRDefault="00000000">
            <w:pPr>
              <w:spacing w:before="120"/>
              <w:jc w:val="center"/>
            </w:pPr>
            <w:r>
              <w:rPr>
                <w:b/>
                <w:bCs/>
                <w:lang w:val="vi-VN"/>
              </w:rPr>
              <w:t>Tổng số:</w:t>
            </w:r>
          </w:p>
        </w:tc>
        <w:tc>
          <w:tcPr>
            <w:tcW w:w="1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9DEE8" w14:textId="77777777" w:rsidR="00000000" w:rsidRDefault="00000000">
            <w:pPr>
              <w:spacing w:before="120"/>
              <w:jc w:val="right"/>
            </w:pPr>
            <w:r>
              <w:rPr>
                <w:b/>
                <w:bCs/>
                <w:lang w:val="vi-VN"/>
              </w:rPr>
              <w:t>3.659.451.000</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97893" w14:textId="77777777" w:rsidR="00000000" w:rsidRDefault="00000000">
            <w:pPr>
              <w:spacing w:before="120"/>
              <w:jc w:val="center"/>
            </w:pPr>
            <w:r>
              <w:rPr>
                <w:b/>
                <w:bCs/>
                <w:lang w:val="vi-VN"/>
              </w:rPr>
              <w:t> </w:t>
            </w:r>
          </w:p>
        </w:tc>
      </w:tr>
      <w:tr w:rsidR="00000000" w14:paraId="14889396" w14:textId="77777777">
        <w:tblPrEx>
          <w:tblBorders>
            <w:top w:val="none" w:sz="0" w:space="0" w:color="auto"/>
            <w:bottom w:val="none" w:sz="0" w:space="0" w:color="auto"/>
            <w:insideH w:val="none" w:sz="0" w:space="0" w:color="auto"/>
            <w:insideV w:val="none" w:sz="0" w:space="0" w:color="auto"/>
          </w:tblBorders>
        </w:tblPrEx>
        <w:tc>
          <w:tcPr>
            <w:tcW w:w="30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3578D" w14:textId="77777777" w:rsidR="00000000" w:rsidRDefault="00000000">
            <w:pPr>
              <w:spacing w:before="120"/>
            </w:pPr>
            <w:r>
              <w:rPr>
                <w:lang w:val="vi-VN"/>
              </w:rPr>
              <w:t>Nguồn vốn chương trình MTQG về văn hóa; ngân sách tỉnh và các nguồn huy động hợp pháp khác.</w:t>
            </w:r>
          </w:p>
        </w:tc>
        <w:tc>
          <w:tcPr>
            <w:tcW w:w="1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28008" w14:textId="77777777" w:rsidR="00000000" w:rsidRDefault="00000000">
            <w:pPr>
              <w:spacing w:before="120"/>
              <w:jc w:val="right"/>
            </w:pPr>
            <w:r>
              <w:rPr>
                <w:lang w:val="vi-VN"/>
              </w:rPr>
              <w:t>3.659.451.000</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69B82" w14:textId="77777777" w:rsidR="00000000" w:rsidRDefault="00000000">
            <w:pPr>
              <w:spacing w:before="120"/>
              <w:jc w:val="center"/>
            </w:pPr>
            <w:r>
              <w:rPr>
                <w:lang w:val="vi-VN"/>
              </w:rPr>
              <w:t> </w:t>
            </w:r>
          </w:p>
        </w:tc>
      </w:tr>
    </w:tbl>
    <w:p w14:paraId="56928E4C" w14:textId="77777777" w:rsidR="00000000" w:rsidRDefault="00000000">
      <w:pPr>
        <w:spacing w:before="120" w:after="280" w:afterAutospacing="1"/>
      </w:pPr>
      <w:r>
        <w:rPr>
          <w:lang w:val="vi-VN"/>
        </w:rPr>
        <w:t>1.2. Các khoản công nợ tính đến ngày khóa sổ lập Báo cáo quyết toán:</w:t>
      </w:r>
    </w:p>
    <w:p w14:paraId="4F69EB46" w14:textId="77777777" w:rsidR="00000000" w:rsidRDefault="00000000">
      <w:pPr>
        <w:spacing w:before="120" w:after="280" w:afterAutospacing="1"/>
      </w:pPr>
      <w:r>
        <w:rPr>
          <w:lang w:val="vi-VN"/>
        </w:rPr>
        <w:t>a) Các khoản phải thu: 3.726.000 đồng; trong đó:</w:t>
      </w:r>
    </w:p>
    <w:p w14:paraId="2D73CB53" w14:textId="77777777" w:rsidR="00000000" w:rsidRDefault="00000000">
      <w:pPr>
        <w:spacing w:before="120" w:after="280" w:afterAutospacing="1"/>
      </w:pPr>
      <w:r>
        <w:rPr>
          <w:lang w:val="vi-VN"/>
        </w:rPr>
        <w:t>- Sở Xây dựng Thanh Hóa: 3.726.000 đồng.</w:t>
      </w:r>
    </w:p>
    <w:p w14:paraId="4E4C0266" w14:textId="77777777" w:rsidR="00000000" w:rsidRDefault="00000000">
      <w:pPr>
        <w:spacing w:before="120" w:after="280" w:afterAutospacing="1"/>
      </w:pPr>
      <w:r>
        <w:rPr>
          <w:lang w:val="vi-VN"/>
        </w:rPr>
        <w:t>b) Các khoản phải trả: 282.187.000 đồng; trong đó:</w:t>
      </w:r>
    </w:p>
    <w:p w14:paraId="5504D553" w14:textId="77777777" w:rsidR="00000000" w:rsidRDefault="00000000">
      <w:pPr>
        <w:spacing w:before="120" w:after="280" w:afterAutospacing="1"/>
      </w:pPr>
      <w:r>
        <w:rPr>
          <w:lang w:val="vi-VN"/>
        </w:rPr>
        <w:t>- Công ty Cổ phần Bắc Á: 250.277.000 đồng;</w:t>
      </w:r>
    </w:p>
    <w:p w14:paraId="3578BBED" w14:textId="77777777" w:rsidR="00000000" w:rsidRDefault="00000000">
      <w:pPr>
        <w:spacing w:before="120" w:after="280" w:afterAutospacing="1"/>
      </w:pPr>
      <w:r>
        <w:rPr>
          <w:lang w:val="vi-VN"/>
        </w:rPr>
        <w:t>- Công ty Cổ phần xây dựng và bảo tồn công trình văn hóa: 15.708.000 đồng;</w:t>
      </w:r>
    </w:p>
    <w:p w14:paraId="73CE46B7" w14:textId="77777777" w:rsidR="00000000" w:rsidRDefault="00000000">
      <w:pPr>
        <w:spacing w:before="120" w:after="280" w:afterAutospacing="1"/>
      </w:pPr>
      <w:r>
        <w:rPr>
          <w:lang w:val="vi-VN"/>
        </w:rPr>
        <w:t>- Sở Tài chính Thanh Hóa: 16.202.000 đồng.</w:t>
      </w:r>
    </w:p>
    <w:p w14:paraId="4B7BCF98" w14:textId="77777777" w:rsidR="00000000" w:rsidRDefault="00000000">
      <w:pPr>
        <w:spacing w:before="120" w:after="280" w:afterAutospacing="1"/>
      </w:pPr>
      <w:r>
        <w:rPr>
          <w:lang w:val="vi-VN"/>
        </w:rPr>
        <w:t>2. Trách nhiệm của đơn vị tiếp nhận tài sản: Được phép ghi tăng tài sản.</w:t>
      </w:r>
    </w:p>
    <w:p w14:paraId="67D7D076" w14:textId="77777777" w:rsidR="00000000" w:rsidRDefault="00000000">
      <w:pPr>
        <w:spacing w:before="120" w:after="280" w:afterAutospacing="1"/>
        <w:jc w:val="right"/>
      </w:pPr>
      <w:r>
        <w:rPr>
          <w:i/>
          <w:iCs/>
          <w:lang w:val="vi-VN"/>
        </w:rPr>
        <w:t>Đơn vị tính</w:t>
      </w:r>
      <w:r>
        <w:rPr>
          <w:i/>
          <w:iCs/>
        </w:rPr>
        <w:t xml:space="preserve">: </w:t>
      </w:r>
      <w:r>
        <w:rPr>
          <w:i/>
          <w:iCs/>
          <w:lang w:val="vi-VN"/>
        </w:rPr>
        <w:t>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94"/>
        <w:gridCol w:w="2740"/>
        <w:gridCol w:w="2206"/>
      </w:tblGrid>
      <w:tr w:rsidR="00000000" w14:paraId="7112163B" w14:textId="77777777">
        <w:tc>
          <w:tcPr>
            <w:tcW w:w="23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51B54" w14:textId="77777777" w:rsidR="00000000" w:rsidRDefault="00000000">
            <w:pPr>
              <w:spacing w:before="120"/>
              <w:jc w:val="center"/>
            </w:pPr>
            <w:r>
              <w:rPr>
                <w:b/>
                <w:bCs/>
                <w:lang w:val="vi-VN"/>
              </w:rPr>
              <w:t>Tên đơn vị quản lý tài sản</w:t>
            </w:r>
          </w:p>
        </w:tc>
        <w:tc>
          <w:tcPr>
            <w:tcW w:w="14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644E7" w14:textId="77777777" w:rsidR="00000000" w:rsidRDefault="00000000">
            <w:pPr>
              <w:spacing w:before="120"/>
              <w:jc w:val="center"/>
            </w:pPr>
            <w:r>
              <w:rPr>
                <w:b/>
                <w:bCs/>
                <w:lang w:val="vi-VN"/>
              </w:rPr>
              <w:t>Tài sản cố đ</w:t>
            </w:r>
            <w:r>
              <w:rPr>
                <w:b/>
                <w:bCs/>
              </w:rPr>
              <w:t>ị</w:t>
            </w:r>
            <w:r>
              <w:rPr>
                <w:b/>
                <w:bCs/>
                <w:lang w:val="vi-VN"/>
              </w:rPr>
              <w:t>nh</w:t>
            </w:r>
          </w:p>
        </w:tc>
        <w:tc>
          <w:tcPr>
            <w:tcW w:w="11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E0E29" w14:textId="77777777" w:rsidR="00000000" w:rsidRDefault="00000000">
            <w:pPr>
              <w:spacing w:before="120"/>
              <w:jc w:val="center"/>
            </w:pPr>
            <w:r>
              <w:rPr>
                <w:b/>
                <w:bCs/>
                <w:lang w:val="vi-VN"/>
              </w:rPr>
              <w:t>Tài sản lưu động</w:t>
            </w:r>
          </w:p>
        </w:tc>
      </w:tr>
      <w:tr w:rsidR="00000000" w14:paraId="2D0C8758" w14:textId="77777777">
        <w:tblPrEx>
          <w:tblBorders>
            <w:top w:val="none" w:sz="0" w:space="0" w:color="auto"/>
            <w:bottom w:val="none" w:sz="0" w:space="0" w:color="auto"/>
            <w:insideH w:val="none" w:sz="0" w:space="0" w:color="auto"/>
            <w:insideV w:val="none" w:sz="0" w:space="0" w:color="auto"/>
          </w:tblBorders>
        </w:tblPrEx>
        <w:tc>
          <w:tcPr>
            <w:tcW w:w="2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BBF61" w14:textId="77777777" w:rsidR="00000000" w:rsidRDefault="00000000">
            <w:pPr>
              <w:spacing w:before="120"/>
              <w:jc w:val="center"/>
            </w:pPr>
            <w:r>
              <w:rPr>
                <w:lang w:val="vi-VN"/>
              </w:rPr>
              <w:t>UBND huyện Thạch Thành</w:t>
            </w:r>
          </w:p>
        </w:tc>
        <w:tc>
          <w:tcPr>
            <w:tcW w:w="1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9E672" w14:textId="77777777" w:rsidR="00000000" w:rsidRDefault="00000000">
            <w:pPr>
              <w:spacing w:before="120"/>
              <w:jc w:val="center"/>
            </w:pPr>
            <w:r>
              <w:rPr>
                <w:lang w:val="vi-VN"/>
              </w:rPr>
              <w:t>3.659.451.000</w:t>
            </w:r>
          </w:p>
        </w:tc>
        <w:tc>
          <w:tcPr>
            <w:tcW w:w="1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A8711" w14:textId="77777777" w:rsidR="00000000" w:rsidRDefault="00000000">
            <w:pPr>
              <w:spacing w:before="120"/>
              <w:jc w:val="center"/>
            </w:pPr>
            <w:r>
              <w:rPr>
                <w:lang w:val="vi-VN"/>
              </w:rPr>
              <w:t> </w:t>
            </w:r>
          </w:p>
        </w:tc>
      </w:tr>
    </w:tbl>
    <w:p w14:paraId="54B11196" w14:textId="77777777" w:rsidR="00000000" w:rsidRDefault="00000000">
      <w:pPr>
        <w:spacing w:before="120" w:after="280" w:afterAutospacing="1"/>
      </w:pPr>
      <w:r>
        <w:rPr>
          <w:lang w:val="vi-VN"/>
        </w:rPr>
        <w:t>3. Trách nhiệm của các đơn vị, cơ quan có liên quan: Sở Tài chính và Chủ đầu tư chịu trách nhiệm toàn diện trước pháp luật và UBND tỉnh, Chủ tịch UBND tỉnh về tính chính xác, hợp pháp của số liệu và hồ sơ trình phê duyệt quyết toán dự án.</w:t>
      </w:r>
    </w:p>
    <w:p w14:paraId="27FC806F" w14:textId="77777777" w:rsidR="00000000" w:rsidRDefault="00000000">
      <w:pPr>
        <w:spacing w:before="120" w:after="280" w:afterAutospacing="1"/>
      </w:pPr>
      <w:r>
        <w:rPr>
          <w:lang w:val="vi-VN"/>
        </w:rPr>
        <w:t>4. Các nghiệp vụ khác (nếu có): Đơn vị hạch toán theo chế độ hiện hành.</w:t>
      </w:r>
    </w:p>
    <w:p w14:paraId="1CD7ED1B" w14:textId="77777777" w:rsidR="00000000" w:rsidRDefault="00000000">
      <w:pPr>
        <w:spacing w:before="120" w:after="280" w:afterAutospacing="1"/>
      </w:pPr>
      <w:r>
        <w:rPr>
          <w:b/>
          <w:bCs/>
          <w:lang w:val="vi-VN"/>
        </w:rPr>
        <w:t>Điều 4.</w:t>
      </w:r>
      <w:r>
        <w:rPr>
          <w:lang w:val="vi-VN"/>
        </w:rPr>
        <w:t xml:space="preserve"> Quyết định này có hiệu lực thi hành kể từ ngày ký.</w:t>
      </w:r>
    </w:p>
    <w:p w14:paraId="22AFE2ED" w14:textId="77777777" w:rsidR="00000000" w:rsidRDefault="00000000">
      <w:pPr>
        <w:spacing w:before="120" w:after="280" w:afterAutospacing="1"/>
      </w:pPr>
      <w:r>
        <w:rPr>
          <w:lang w:val="vi-VN"/>
        </w:rPr>
        <w:t>Chánh Văn phòng UBND tỉnh; Giám đốc các Sở: Tài chính, Văn hóa, Thể thao và Du lịch, Kế hoạch và Đầu tư, Xây dựng; Giám đốc Kho bạc Nhà nước tỉnh Thanh Hoá; Chủ tịch UBND huyện Thạch Thành; Thủ trưởng các ngành, đơn vị và cá nhân có liên quan chịu trách nhiệm thi hành Quyết định này./.</w:t>
      </w:r>
    </w:p>
    <w:p w14:paraId="50A167D4"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4C0B7B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18FFAA" w14:textId="77777777" w:rsidR="00000000" w:rsidRDefault="00000000">
            <w:pPr>
              <w:spacing w:before="120"/>
            </w:pPr>
            <w:r>
              <w:rPr>
                <w:b/>
                <w:bCs/>
                <w:i/>
                <w:iCs/>
                <w:lang w:val="vi-VN"/>
              </w:rPr>
              <w:br/>
              <w:t>Nơi nhận:</w:t>
            </w:r>
            <w:r>
              <w:rPr>
                <w:b/>
                <w:bCs/>
                <w:i/>
                <w:iCs/>
                <w:lang w:val="vi-VN"/>
              </w:rPr>
              <w:br/>
            </w:r>
            <w:r>
              <w:rPr>
                <w:sz w:val="16"/>
                <w:lang w:val="vi-VN"/>
              </w:rPr>
              <w:t>- Như Điều 4 QĐ;</w:t>
            </w:r>
            <w:r>
              <w:rPr>
                <w:sz w:val="16"/>
                <w:lang w:val="vi-VN"/>
              </w:rPr>
              <w:br/>
              <w:t>- Chủ tịch UBND tỉnh (để B/c);</w:t>
            </w:r>
            <w:r>
              <w:rPr>
                <w:sz w:val="16"/>
                <w:lang w:val="vi-VN"/>
              </w:rPr>
              <w:br/>
              <w:t>- PCT UBND tỉnh Đầu Thanh Tùng;</w:t>
            </w:r>
            <w:r>
              <w:rPr>
                <w:sz w:val="16"/>
                <w:lang w:val="vi-VN"/>
              </w:rPr>
              <w:br/>
              <w:t>- Lưu: VT, VX.</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914F9D1" w14:textId="77777777" w:rsidR="00000000" w:rsidRDefault="00000000">
            <w:pPr>
              <w:spacing w:before="120"/>
              <w:jc w:val="center"/>
            </w:pP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Đầu Thanh Tùng</w:t>
            </w:r>
          </w:p>
        </w:tc>
      </w:tr>
    </w:tbl>
    <w:p w14:paraId="5053E94D" w14:textId="77777777" w:rsidR="00E57C5B" w:rsidRDefault="00000000">
      <w:pPr>
        <w:spacing w:before="120" w:after="280" w:afterAutospacing="1"/>
      </w:pPr>
      <w:r>
        <w:rPr>
          <w:b/>
          <w:bCs/>
          <w:lang w:val="vi-VN"/>
        </w:rPr>
        <w:t> </w:t>
      </w:r>
    </w:p>
    <w:sectPr w:rsidR="00E57C5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72D"/>
    <w:rsid w:val="00D6372D"/>
    <w:rsid w:val="00E57C5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4D5D79"/>
  <w15:chartTrackingRefBased/>
  <w15:docId w15:val="{DF858C1E-3EF5-41A8-846D-3E1DEAD0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757</Words>
  <Characters>4317</Characters>
  <Application>Microsoft Office Word</Application>
  <DocSecurity>0</DocSecurity>
  <Lines>35</Lines>
  <Paragraphs>10</Paragraphs>
  <ScaleCrop>false</ScaleCrop>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2022-10-07T02:01:00Z</dcterms:created>
  <dcterms:modified xsi:type="dcterms:W3CDTF">2022-10-07T02:01:00Z</dcterms:modified>
</cp:coreProperties>
</file>