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E46BCE" w14:paraId="71473503"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60AFE541" w14:textId="77777777" w:rsidR="00E46BCE" w:rsidRDefault="00E46BCE">
            <w:pPr>
              <w:jc w:val="center"/>
            </w:pPr>
            <w:bookmarkStart w:id="0" w:name="_GoBack"/>
            <w:bookmarkEnd w:id="0"/>
            <w:r>
              <w:rPr>
                <w:b/>
                <w:bCs/>
              </w:rPr>
              <w:t>BỘ NỘI VỤ</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6FADEEE" w14:textId="77777777" w:rsidR="00E46BCE" w:rsidRDefault="00E46BCE">
            <w:pPr>
              <w:jc w:val="center"/>
            </w:pPr>
            <w:r>
              <w:rPr>
                <w:b/>
                <w:bCs/>
              </w:rPr>
              <w:t>VIỆT NAM DÂN CHỦ CỘNG HÒA</w:t>
            </w:r>
            <w:r>
              <w:br/>
            </w:r>
            <w:r>
              <w:rPr>
                <w:b/>
                <w:bCs/>
              </w:rPr>
              <w:t>Độc lập - Tự do - Hạnh phúc</w:t>
            </w:r>
            <w:r>
              <w:rPr>
                <w:b/>
                <w:bCs/>
              </w:rPr>
              <w:br/>
            </w:r>
            <w:r>
              <w:t xml:space="preserve">******** </w:t>
            </w:r>
          </w:p>
        </w:tc>
      </w:tr>
      <w:tr w:rsidR="00E46BCE" w14:paraId="76B7E3F8"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53C9AB26" w14:textId="77777777" w:rsidR="00E46BCE" w:rsidRDefault="00E46BCE">
            <w:pPr>
              <w:jc w:val="center"/>
            </w:pPr>
            <w:r>
              <w:t xml:space="preserve">Số: 121-NV/NĐ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AB7C2C4" w14:textId="77777777" w:rsidR="00E46BCE" w:rsidRDefault="00E46BCE">
            <w:pPr>
              <w:jc w:val="right"/>
            </w:pPr>
            <w:r>
              <w:rPr>
                <w:i/>
                <w:iCs/>
              </w:rPr>
              <w:t>Hà Nội, ngày 18 tháng 04 năm 1946 </w:t>
            </w:r>
            <w:r>
              <w:t xml:space="preserve"> </w:t>
            </w:r>
          </w:p>
        </w:tc>
      </w:tr>
    </w:tbl>
    <w:p w14:paraId="07B18A39" w14:textId="77777777" w:rsidR="00E46BCE" w:rsidRDefault="00E46BCE">
      <w:pPr>
        <w:spacing w:after="120"/>
      </w:pPr>
      <w:r>
        <w:rPr>
          <w:b/>
          <w:bCs/>
          <w:vanish/>
        </w:rPr>
        <w:t> </w:t>
      </w:r>
    </w:p>
    <w:p w14:paraId="41105A30" w14:textId="77777777" w:rsidR="00E46BCE" w:rsidRDefault="00E46BCE">
      <w:pPr>
        <w:spacing w:after="120"/>
        <w:jc w:val="center"/>
      </w:pPr>
      <w:r>
        <w:rPr>
          <w:rFonts w:ascii="Arial" w:eastAsia="Arial" w:hAnsi="Arial" w:cs="Arial"/>
          <w:b/>
          <w:bCs/>
        </w:rPr>
        <w:t>BỘ TRƯỞNG BỘ NỘI VỤ</w:t>
      </w:r>
    </w:p>
    <w:p w14:paraId="2B60C718" w14:textId="77777777" w:rsidR="00E46BCE" w:rsidRDefault="00E46BCE">
      <w:pPr>
        <w:spacing w:after="120"/>
      </w:pPr>
      <w:r>
        <w:rPr>
          <w:i/>
          <w:iCs/>
        </w:rPr>
        <w:t>Chiếu theo Sắc lệnh số 23 ngày 21 tháng 02 năm 1946 thành lập Việt Mam Công an vụ</w:t>
      </w:r>
      <w:r>
        <w:br/>
      </w:r>
      <w:r>
        <w:rPr>
          <w:i/>
          <w:iCs/>
        </w:rPr>
        <w:t>Sau khi thỏa hiệp với Bộ trưởng Bộ Tư pháp,</w:t>
      </w:r>
    </w:p>
    <w:p w14:paraId="3AC2AD86" w14:textId="77777777" w:rsidR="00E46BCE" w:rsidRDefault="00E46BCE">
      <w:pPr>
        <w:spacing w:after="120"/>
        <w:jc w:val="center"/>
      </w:pPr>
      <w:r>
        <w:rPr>
          <w:rFonts w:ascii="Arial" w:eastAsia="Arial" w:hAnsi="Arial" w:cs="Arial"/>
          <w:b/>
          <w:bCs/>
        </w:rPr>
        <w:t>NGHỊ ĐỊNH:</w:t>
      </w:r>
    </w:p>
    <w:p w14:paraId="5987C44C" w14:textId="77777777" w:rsidR="00E46BCE" w:rsidRDefault="00E46BCE">
      <w:pPr>
        <w:spacing w:after="120"/>
      </w:pPr>
      <w:r>
        <w:rPr>
          <w:rFonts w:ascii="Arial" w:eastAsia="Arial" w:hAnsi="Arial" w:cs="Arial"/>
          <w:b/>
          <w:bCs/>
        </w:rPr>
        <w:t>Chương 1:</w:t>
      </w:r>
    </w:p>
    <w:p w14:paraId="4882708D" w14:textId="77777777" w:rsidR="00E46BCE" w:rsidRDefault="00E46BCE">
      <w:pPr>
        <w:spacing w:after="120"/>
      </w:pPr>
      <w:r>
        <w:rPr>
          <w:b/>
          <w:bCs/>
        </w:rPr>
        <w:t>Điều 1:–</w:t>
      </w:r>
      <w:r>
        <w:t xml:space="preserve"> Việt Nam công an vụ do Sắc lệnh số 23 nói trên lập ra nay tổ chức như sau này:</w:t>
      </w:r>
    </w:p>
    <w:p w14:paraId="4F249C00" w14:textId="77777777" w:rsidR="00E46BCE" w:rsidRDefault="00E46BCE">
      <w:pPr>
        <w:spacing w:after="120"/>
      </w:pPr>
      <w:r>
        <w:rPr>
          <w:rFonts w:ascii="Arial" w:eastAsia="Arial" w:hAnsi="Arial" w:cs="Arial"/>
          <w:b/>
          <w:bCs/>
        </w:rPr>
        <w:t xml:space="preserve">Điều 2– </w:t>
      </w:r>
      <w:r>
        <w:t>Việt Nam công an vụ chia ra làm 3 cấp:</w:t>
      </w:r>
    </w:p>
    <w:p w14:paraId="4A81907B" w14:textId="77777777" w:rsidR="00E46BCE" w:rsidRDefault="00E46BCE">
      <w:pPr>
        <w:spacing w:after="120"/>
      </w:pPr>
      <w:r>
        <w:t xml:space="preserve">1. Công an Việt Nam </w:t>
      </w:r>
    </w:p>
    <w:p w14:paraId="67908869" w14:textId="77777777" w:rsidR="00E46BCE" w:rsidRDefault="00E46BCE">
      <w:pPr>
        <w:spacing w:after="120"/>
      </w:pPr>
      <w:r>
        <w:t>2. Công an kỳ</w:t>
      </w:r>
    </w:p>
    <w:p w14:paraId="2ECE1A28" w14:textId="77777777" w:rsidR="00E46BCE" w:rsidRDefault="00E46BCE">
      <w:pPr>
        <w:spacing w:after="120"/>
      </w:pPr>
      <w:r>
        <w:t>3. Công an tỉnh</w:t>
      </w:r>
    </w:p>
    <w:p w14:paraId="33CE4D98" w14:textId="77777777" w:rsidR="00E46BCE" w:rsidRDefault="00E46BCE">
      <w:pPr>
        <w:spacing w:after="120"/>
      </w:pPr>
      <w:r>
        <w:t>Cơ quan công an trung ương đặt dưới quyền điều khiển trực tiếp của ông tổng giám đốc Việt Nam công an vụ.</w:t>
      </w:r>
    </w:p>
    <w:p w14:paraId="0C838AA0" w14:textId="77777777" w:rsidR="00E46BCE" w:rsidRDefault="00E46BCE">
      <w:pPr>
        <w:spacing w:after="120"/>
      </w:pPr>
      <w:r>
        <w:t>Cơ quan công an kỳ (Bắc, Trung, Nam) đặt dưới quyền điều khiển của một giám đốc công an kỳ.</w:t>
      </w:r>
    </w:p>
    <w:p w14:paraId="2D69DDC3" w14:textId="77777777" w:rsidR="00E46BCE" w:rsidRDefault="00E46BCE">
      <w:pPr>
        <w:spacing w:after="120"/>
      </w:pPr>
      <w:r>
        <w:t>Cơ quan công an tỉnh đặt dưới quyền điều khiển của một ty trưởng.</w:t>
      </w:r>
    </w:p>
    <w:p w14:paraId="516D602C" w14:textId="77777777" w:rsidR="00E46BCE" w:rsidRDefault="00E46BCE">
      <w:pPr>
        <w:spacing w:after="120"/>
      </w:pPr>
      <w:r>
        <w:rPr>
          <w:rFonts w:ascii="Arial" w:eastAsia="Arial" w:hAnsi="Arial" w:cs="Arial"/>
          <w:b/>
          <w:bCs/>
        </w:rPr>
        <w:t>Chương 2:</w:t>
      </w:r>
    </w:p>
    <w:p w14:paraId="6C0F6C1F" w14:textId="77777777" w:rsidR="00E46BCE" w:rsidRDefault="00E46BCE">
      <w:pPr>
        <w:spacing w:after="120"/>
        <w:jc w:val="center"/>
      </w:pPr>
      <w:r>
        <w:rPr>
          <w:rFonts w:ascii="Arial" w:eastAsia="Arial" w:hAnsi="Arial" w:cs="Arial"/>
          <w:b/>
          <w:bCs/>
        </w:rPr>
        <w:t>NHA CÔNG AN VIỆT NAM</w:t>
      </w:r>
    </w:p>
    <w:p w14:paraId="26B3CFEF" w14:textId="77777777" w:rsidR="00E46BCE" w:rsidRDefault="00E46BCE">
      <w:pPr>
        <w:spacing w:after="120"/>
      </w:pPr>
      <w:r>
        <w:rPr>
          <w:rFonts w:ascii="Arial" w:eastAsia="Arial" w:hAnsi="Arial" w:cs="Arial"/>
          <w:b/>
          <w:bCs/>
        </w:rPr>
        <w:t xml:space="preserve">Điều 3:– </w:t>
      </w:r>
      <w:r>
        <w:t xml:space="preserve">Nha công an Việt Nam đặt ở thủ đô nước Việt Nam </w:t>
      </w:r>
    </w:p>
    <w:p w14:paraId="5B3CC23D" w14:textId="77777777" w:rsidR="00E46BCE" w:rsidRDefault="00E46BCE">
      <w:pPr>
        <w:spacing w:after="120"/>
      </w:pPr>
      <w:r>
        <w:rPr>
          <w:rFonts w:ascii="Arial" w:eastAsia="Arial" w:hAnsi="Arial" w:cs="Arial"/>
          <w:b/>
          <w:bCs/>
        </w:rPr>
        <w:t xml:space="preserve">Điều 4:– </w:t>
      </w:r>
      <w:r>
        <w:t>Nha này có nhiệm vụ:</w:t>
      </w:r>
    </w:p>
    <w:p w14:paraId="44F483C3" w14:textId="77777777" w:rsidR="00E46BCE" w:rsidRDefault="00E46BCE">
      <w:pPr>
        <w:spacing w:after="120"/>
      </w:pPr>
      <w:r>
        <w:t>Sưu tầm và tập trung tất cả những tài liệu và tin tức có liên can đến việc nội trị và đối ngoại.</w:t>
      </w:r>
    </w:p>
    <w:p w14:paraId="736FB55D" w14:textId="77777777" w:rsidR="00E46BCE" w:rsidRDefault="00E46BCE">
      <w:pPr>
        <w:spacing w:after="120"/>
      </w:pPr>
      <w:r>
        <w:t>Điều tra và khám phá những hành động phương hại đến sự an toàn của quốc gia.</w:t>
      </w:r>
    </w:p>
    <w:p w14:paraId="1F8DB5B6" w14:textId="77777777" w:rsidR="00E46BCE" w:rsidRDefault="00E46BCE">
      <w:pPr>
        <w:spacing w:after="120"/>
      </w:pPr>
      <w:r>
        <w:t>Thi hành những luật lệ về sự tuần sát chung trong nước.</w:t>
      </w:r>
    </w:p>
    <w:p w14:paraId="1A80C396" w14:textId="77777777" w:rsidR="00E46BCE" w:rsidRDefault="00E46BCE">
      <w:pPr>
        <w:spacing w:after="120"/>
      </w:pPr>
      <w:r>
        <w:t>Nghiên cứu và khởi thảo những luật lệ về công an</w:t>
      </w:r>
    </w:p>
    <w:p w14:paraId="58DC1B5F" w14:textId="77777777" w:rsidR="00E46BCE" w:rsidRDefault="00E46BCE">
      <w:pPr>
        <w:spacing w:after="120"/>
      </w:pPr>
      <w:r>
        <w:t>Tổ chức, kiểm soát các cơ quan công an trong nước.</w:t>
      </w:r>
    </w:p>
    <w:p w14:paraId="0F12E91A" w14:textId="77777777" w:rsidR="00E46BCE" w:rsidRDefault="00E46BCE">
      <w:pPr>
        <w:spacing w:after="120"/>
      </w:pPr>
      <w:r>
        <w:rPr>
          <w:rFonts w:ascii="Arial" w:eastAsia="Arial" w:hAnsi="Arial" w:cs="Arial"/>
          <w:b/>
          <w:bCs/>
        </w:rPr>
        <w:t xml:space="preserve">Điều 5:– </w:t>
      </w:r>
      <w:r>
        <w:t>Nha công an Việt Nam đặt dưới quyền điều khiển của 2 ông tổng giám đốc và phó giám đốc gồm có:</w:t>
      </w:r>
    </w:p>
    <w:p w14:paraId="638538E6" w14:textId="77777777" w:rsidR="00E46BCE" w:rsidRDefault="00E46BCE">
      <w:pPr>
        <w:spacing w:after="120"/>
      </w:pPr>
      <w:r>
        <w:t xml:space="preserve">a) Một văn phòng </w:t>
      </w:r>
    </w:p>
    <w:p w14:paraId="08E4C113" w14:textId="77777777" w:rsidR="00E46BCE" w:rsidRDefault="00E46BCE">
      <w:pPr>
        <w:spacing w:after="120"/>
      </w:pPr>
      <w:r>
        <w:t>b) và các phòng sự vụ</w:t>
      </w:r>
    </w:p>
    <w:p w14:paraId="4ACFB07F" w14:textId="77777777" w:rsidR="00E46BCE" w:rsidRDefault="00E46BCE">
      <w:pPr>
        <w:spacing w:after="120"/>
      </w:pPr>
      <w:r>
        <w:t>Mỗi phòng đều có một chủ sự phòng điều khiển</w:t>
      </w:r>
    </w:p>
    <w:p w14:paraId="1CB2D3A0" w14:textId="77777777" w:rsidR="00E46BCE" w:rsidRDefault="00E46BCE">
      <w:pPr>
        <w:spacing w:after="120"/>
      </w:pPr>
      <w:r>
        <w:lastRenderedPageBreak/>
        <w:t xml:space="preserve">Các chức tổng giám đốc và phó giám đốc do sắc lệnh Chủ tịch Chính phủ Việt Nam bổ nhiệm theo đề nghị của Bộ trưởng Bộ Nội vụ </w:t>
      </w:r>
    </w:p>
    <w:p w14:paraId="136D72A6" w14:textId="77777777" w:rsidR="00E46BCE" w:rsidRDefault="00E46BCE">
      <w:pPr>
        <w:spacing w:after="120"/>
      </w:pPr>
      <w:r>
        <w:t>Các nhân viên của nha công an sẽ do nghị định Bộ trưởng bộ Nội vụ bổ nhiệm theo đề nghị của tổng giám đốc nha công an</w:t>
      </w:r>
    </w:p>
    <w:p w14:paraId="68D415C1" w14:textId="77777777" w:rsidR="00E46BCE" w:rsidRDefault="00E46BCE">
      <w:pPr>
        <w:spacing w:after="120"/>
      </w:pPr>
      <w:r>
        <w:rPr>
          <w:rFonts w:ascii="Arial" w:eastAsia="Arial" w:hAnsi="Arial" w:cs="Arial"/>
          <w:b/>
          <w:bCs/>
        </w:rPr>
        <w:t>Chương 3:</w:t>
      </w:r>
    </w:p>
    <w:p w14:paraId="2B5389F2" w14:textId="77777777" w:rsidR="00E46BCE" w:rsidRDefault="00E46BCE">
      <w:pPr>
        <w:spacing w:after="120"/>
        <w:jc w:val="center"/>
      </w:pPr>
      <w:r>
        <w:rPr>
          <w:rFonts w:ascii="Arial" w:eastAsia="Arial" w:hAnsi="Arial" w:cs="Arial"/>
          <w:b/>
          <w:bCs/>
        </w:rPr>
        <w:t>SỞ CÔNG AN KỲ</w:t>
      </w:r>
    </w:p>
    <w:p w14:paraId="3EDFD3EB" w14:textId="77777777" w:rsidR="00E46BCE" w:rsidRDefault="00E46BCE">
      <w:pPr>
        <w:spacing w:after="120"/>
      </w:pPr>
      <w:r>
        <w:rPr>
          <w:rFonts w:ascii="Arial" w:eastAsia="Arial" w:hAnsi="Arial" w:cs="Arial"/>
          <w:b/>
          <w:bCs/>
        </w:rPr>
        <w:t xml:space="preserve">Điều 6:– </w:t>
      </w:r>
      <w:r>
        <w:t>Sở công an kỳ có nhiệm vụ:</w:t>
      </w:r>
    </w:p>
    <w:p w14:paraId="2BD1B165" w14:textId="77777777" w:rsidR="00E46BCE" w:rsidRDefault="00E46BCE">
      <w:pPr>
        <w:spacing w:after="120"/>
      </w:pPr>
      <w:r>
        <w:t>Giữ gìn trật tư trong địa hạt, đề phòng những hành động trái phép, điều tra để truy tầm thủ phạm những hành vi trái phép giao tòa án trừng phạt.</w:t>
      </w:r>
    </w:p>
    <w:p w14:paraId="268F2D0F" w14:textId="77777777" w:rsidR="00E46BCE" w:rsidRDefault="00E46BCE">
      <w:pPr>
        <w:spacing w:after="120"/>
      </w:pPr>
      <w:r>
        <w:t>Điều tra về phương tiện hành chính để giúp những công sở về những người và đoàn thể có liên lạc với các sở ấy.</w:t>
      </w:r>
    </w:p>
    <w:p w14:paraId="5DC06938" w14:textId="77777777" w:rsidR="00E46BCE" w:rsidRDefault="00E46BCE">
      <w:pPr>
        <w:spacing w:after="120"/>
      </w:pPr>
      <w:r>
        <w:t>Kiểm soát và thi hành những phương pháp đề phòng đối với những người nguy hiểm cho sự trị an</w:t>
      </w:r>
    </w:p>
    <w:p w14:paraId="39918234" w14:textId="77777777" w:rsidR="00E46BCE" w:rsidRDefault="00E46BCE">
      <w:pPr>
        <w:spacing w:after="120"/>
      </w:pPr>
      <w:r>
        <w:t>Sưu tầm và chuyển lên nha công an trung ương những tin tức và tài liệu quan hệ đến sự trị an.</w:t>
      </w:r>
    </w:p>
    <w:p w14:paraId="1E3CDE35" w14:textId="77777777" w:rsidR="00E46BCE" w:rsidRDefault="00E46BCE">
      <w:pPr>
        <w:spacing w:after="120"/>
      </w:pPr>
      <w:r>
        <w:t>Tổ chức và kiểm soát các cơ quan công an tỉnh</w:t>
      </w:r>
    </w:p>
    <w:p w14:paraId="20255E83" w14:textId="77777777" w:rsidR="00E46BCE" w:rsidRDefault="00E46BCE">
      <w:pPr>
        <w:spacing w:after="120"/>
      </w:pPr>
      <w:r>
        <w:rPr>
          <w:rFonts w:ascii="Arial" w:eastAsia="Arial" w:hAnsi="Arial" w:cs="Arial"/>
          <w:b/>
          <w:bCs/>
        </w:rPr>
        <w:t xml:space="preserve">Điều 7:– </w:t>
      </w:r>
      <w:r>
        <w:t>Mỗi sở công an kỳ đều đặt dưới quyền điều khiển của 2 ông giám đốc và phó giám đốc do nghị định Bộ trưởng bộ Nội vụ bổ nhiệm theo đề nghị của tổng giám đốc nha công an trung ương và sau khi hỏi ý kiến chủ tịch ủy ban hành chính ký.</w:t>
      </w:r>
    </w:p>
    <w:p w14:paraId="54A79776" w14:textId="77777777" w:rsidR="00E46BCE" w:rsidRDefault="00E46BCE">
      <w:pPr>
        <w:spacing w:after="120"/>
      </w:pPr>
      <w:r>
        <w:rPr>
          <w:rFonts w:ascii="Arial" w:eastAsia="Arial" w:hAnsi="Arial" w:cs="Arial"/>
          <w:b/>
          <w:bCs/>
        </w:rPr>
        <w:t xml:space="preserve">Điều 8:– </w:t>
      </w:r>
      <w:r>
        <w:t>Sở công an ký gồm có 1 văn phòng và các phòng phụ thuộc khác đặt dưới quyền điều khiển các chủ sự phòng.</w:t>
      </w:r>
    </w:p>
    <w:p w14:paraId="3C6A7BD5" w14:textId="77777777" w:rsidR="00E46BCE" w:rsidRDefault="00E46BCE">
      <w:pPr>
        <w:spacing w:after="120"/>
      </w:pPr>
      <w:r>
        <w:t>Chức chủ sự phòng do nghị định của chủ tịch ủy ban hành chính kỳ bổ nhiệm theo đề nghị của giám đốc sở công an kỳ sau khi ông này được ông tổng giám đốc nha công an trung ương đồng ý.</w:t>
      </w:r>
    </w:p>
    <w:p w14:paraId="5C1D7EC8" w14:textId="77777777" w:rsidR="00E46BCE" w:rsidRDefault="00E46BCE">
      <w:pPr>
        <w:spacing w:after="120"/>
      </w:pPr>
      <w:r>
        <w:rPr>
          <w:rFonts w:ascii="Arial" w:eastAsia="Arial" w:hAnsi="Arial" w:cs="Arial"/>
          <w:b/>
          <w:bCs/>
        </w:rPr>
        <w:t>Chương 4:</w:t>
      </w:r>
    </w:p>
    <w:p w14:paraId="7295A7C7" w14:textId="77777777" w:rsidR="00E46BCE" w:rsidRDefault="00E46BCE">
      <w:pPr>
        <w:spacing w:after="120"/>
        <w:jc w:val="center"/>
      </w:pPr>
      <w:r>
        <w:rPr>
          <w:rFonts w:ascii="Arial" w:eastAsia="Arial" w:hAnsi="Arial" w:cs="Arial"/>
          <w:b/>
          <w:bCs/>
        </w:rPr>
        <w:t>TY CÔNG AN TỈNH</w:t>
      </w:r>
    </w:p>
    <w:p w14:paraId="7252776C" w14:textId="77777777" w:rsidR="00E46BCE" w:rsidRDefault="00E46BCE">
      <w:pPr>
        <w:spacing w:after="120"/>
      </w:pPr>
      <w:r>
        <w:rPr>
          <w:rFonts w:ascii="Arial" w:eastAsia="Arial" w:hAnsi="Arial" w:cs="Arial"/>
          <w:b/>
          <w:bCs/>
        </w:rPr>
        <w:t xml:space="preserve">Điều 9:– </w:t>
      </w:r>
      <w:r>
        <w:t>Tại mỗi tỉnh đều có một ty công an đặt dưới quyền điều khiển của một ty trưởng</w:t>
      </w:r>
    </w:p>
    <w:p w14:paraId="60BC6D6F" w14:textId="77777777" w:rsidR="00E46BCE" w:rsidRDefault="00E46BCE">
      <w:pPr>
        <w:spacing w:after="120"/>
      </w:pPr>
      <w:r>
        <w:rPr>
          <w:rFonts w:ascii="Arial" w:eastAsia="Arial" w:hAnsi="Arial" w:cs="Arial"/>
          <w:b/>
          <w:bCs/>
        </w:rPr>
        <w:t xml:space="preserve">Điều 10:– </w:t>
      </w:r>
      <w:r>
        <w:t>Các thành phố lớn Hà nội, Hải phòng, Huế, khu Sài gòn-Chợ lớn sẽ có một tổ chức công an riêng, nghị định sau sẽ ấn định.</w:t>
      </w:r>
    </w:p>
    <w:p w14:paraId="37BF1743" w14:textId="77777777" w:rsidR="00E46BCE" w:rsidRDefault="00E46BCE">
      <w:pPr>
        <w:spacing w:after="120"/>
      </w:pPr>
      <w:r>
        <w:rPr>
          <w:rFonts w:ascii="Arial" w:eastAsia="Arial" w:hAnsi="Arial" w:cs="Arial"/>
          <w:b/>
          <w:bCs/>
        </w:rPr>
        <w:t xml:space="preserve">Điều 11:– </w:t>
      </w:r>
      <w:r>
        <w:t>Các ty công an tỉnh có nhiệm vụ như các sở công an kỳ nhưng chỉ hoạt động trong phạm vi một tỉnh.</w:t>
      </w:r>
    </w:p>
    <w:p w14:paraId="38EC3A4F" w14:textId="77777777" w:rsidR="00E46BCE" w:rsidRDefault="00E46BCE">
      <w:pPr>
        <w:spacing w:after="120"/>
      </w:pPr>
      <w:r>
        <w:rPr>
          <w:rFonts w:ascii="Arial" w:eastAsia="Arial" w:hAnsi="Arial" w:cs="Arial"/>
          <w:b/>
          <w:bCs/>
        </w:rPr>
        <w:t xml:space="preserve">Điều 12:– </w:t>
      </w:r>
      <w:r>
        <w:t>Về phương diện công an các tỉnh sẽ chia ra làm từng hạng tùy theo sự quan trọng về dân số hay chính trị. Sự xếp hạng tùy theo sự quan trọng về dân số hay chính trị. Sự xếp hạng các tỉnh sẽ do ông tổng giám đốc nha công an trung ương đề nghị với bộ Nội vụ ra nghị định thi hành.</w:t>
      </w:r>
    </w:p>
    <w:p w14:paraId="5985C1CA" w14:textId="77777777" w:rsidR="00E46BCE" w:rsidRDefault="00E46BCE">
      <w:pPr>
        <w:spacing w:after="120"/>
      </w:pPr>
      <w:r>
        <w:rPr>
          <w:rFonts w:ascii="Arial" w:eastAsia="Arial" w:hAnsi="Arial" w:cs="Arial"/>
          <w:b/>
          <w:bCs/>
        </w:rPr>
        <w:t xml:space="preserve">Điều 13:– </w:t>
      </w:r>
      <w:r>
        <w:t>Ty công an tỉnh gồm có văn phòng và các ban.</w:t>
      </w:r>
    </w:p>
    <w:p w14:paraId="7B683B18" w14:textId="77777777" w:rsidR="00E46BCE" w:rsidRDefault="00E46BCE">
      <w:pPr>
        <w:spacing w:after="120"/>
      </w:pPr>
      <w:r>
        <w:t>Văn phòng do một bí thư điều khiển</w:t>
      </w:r>
    </w:p>
    <w:p w14:paraId="68B00A51" w14:textId="77777777" w:rsidR="00E46BCE" w:rsidRDefault="00E46BCE">
      <w:pPr>
        <w:spacing w:after="120"/>
      </w:pPr>
      <w:r>
        <w:t>Các ban do các trưởng ban điều khiển</w:t>
      </w:r>
    </w:p>
    <w:p w14:paraId="4488B658" w14:textId="77777777" w:rsidR="00E46BCE" w:rsidRDefault="00E46BCE">
      <w:pPr>
        <w:spacing w:after="120"/>
      </w:pPr>
      <w:r>
        <w:lastRenderedPageBreak/>
        <w:t>Tùy sự quan trọng của công việc, một trưởng ban có thể điều khiển một hay nhiều ban cùng một lúc.</w:t>
      </w:r>
    </w:p>
    <w:p w14:paraId="4BC81D8B" w14:textId="77777777" w:rsidR="00E46BCE" w:rsidRDefault="00E46BCE">
      <w:pPr>
        <w:spacing w:after="120"/>
      </w:pPr>
      <w:r>
        <w:rPr>
          <w:rFonts w:ascii="Arial" w:eastAsia="Arial" w:hAnsi="Arial" w:cs="Arial"/>
          <w:b/>
          <w:bCs/>
        </w:rPr>
        <w:t xml:space="preserve">Điều 14:– </w:t>
      </w:r>
      <w:r>
        <w:t>Chức trưởng ty cũng tuyên bố như chức chủ sự các phòng của sở công an kỳ.</w:t>
      </w:r>
    </w:p>
    <w:p w14:paraId="57223396" w14:textId="77777777" w:rsidR="00E46BCE" w:rsidRDefault="00E46BCE">
      <w:pPr>
        <w:spacing w:after="120"/>
      </w:pPr>
      <w:r>
        <w:t>Chức bí thư và trưởng ban do nghị định chủ tịch ủy-ban hành chính kỳ bổ nhiệm theo đề nghị của giám đốc sở công an kỳ.</w:t>
      </w:r>
    </w:p>
    <w:p w14:paraId="5621F661" w14:textId="77777777" w:rsidR="00E46BCE" w:rsidRDefault="00E46BCE">
      <w:pPr>
        <w:spacing w:after="120"/>
      </w:pPr>
      <w:r>
        <w:rPr>
          <w:rFonts w:ascii="Arial" w:eastAsia="Arial" w:hAnsi="Arial" w:cs="Arial"/>
          <w:b/>
          <w:bCs/>
        </w:rPr>
        <w:t>Chương 5:</w:t>
      </w:r>
    </w:p>
    <w:p w14:paraId="6FF5CEDD" w14:textId="77777777" w:rsidR="00E46BCE" w:rsidRDefault="00E46BCE">
      <w:pPr>
        <w:spacing w:after="120"/>
        <w:jc w:val="center"/>
      </w:pPr>
      <w:r>
        <w:rPr>
          <w:rFonts w:ascii="Arial" w:eastAsia="Arial" w:hAnsi="Arial" w:cs="Arial"/>
          <w:b/>
          <w:bCs/>
        </w:rPr>
        <w:t>SỰ LIÊN LẠC CỦA CÁC CƠ QUAN CÔNG AN VỚI CÁC CƠ QUAN HÀNH CHÍNH VÀ TƯ PHÁP</w:t>
      </w:r>
    </w:p>
    <w:p w14:paraId="440DD624" w14:textId="77777777" w:rsidR="00E46BCE" w:rsidRDefault="00E46BCE">
      <w:pPr>
        <w:spacing w:after="120"/>
      </w:pPr>
      <w:r>
        <w:rPr>
          <w:rFonts w:ascii="Arial" w:eastAsia="Arial" w:hAnsi="Arial" w:cs="Arial"/>
          <w:b/>
          <w:bCs/>
        </w:rPr>
        <w:t xml:space="preserve">Điều 15:– </w:t>
      </w:r>
      <w:r>
        <w:t>Các cơ quan công an cấp dưới phải chịu mệnh lệnh và sự kiểm soát của các cơ quan công an cấp trên về phương diện chuyên môn.</w:t>
      </w:r>
    </w:p>
    <w:p w14:paraId="61DD059B" w14:textId="77777777" w:rsidR="00E46BCE" w:rsidRDefault="00E46BCE">
      <w:pPr>
        <w:spacing w:after="120"/>
      </w:pPr>
      <w:r>
        <w:rPr>
          <w:rFonts w:ascii="Arial" w:eastAsia="Arial" w:hAnsi="Arial" w:cs="Arial"/>
          <w:b/>
          <w:bCs/>
        </w:rPr>
        <w:t xml:space="preserve">Điều 16:– </w:t>
      </w:r>
      <w:r>
        <w:t>Ông</w:t>
      </w:r>
      <w:r>
        <w:rPr>
          <w:rFonts w:ascii="Arial" w:eastAsia="Arial" w:hAnsi="Arial" w:cs="Arial"/>
          <w:b/>
          <w:bCs/>
        </w:rPr>
        <w:t xml:space="preserve"> </w:t>
      </w:r>
      <w:r>
        <w:t>tổng giám đốc nha công an trung ương có nhiệm vụ đặc biệt làm thực hiện sự liên mật thiết giữa các cơ quan công an với các cơ quan hành chính và chuyên môn khác.</w:t>
      </w:r>
    </w:p>
    <w:p w14:paraId="772D060A" w14:textId="77777777" w:rsidR="00E46BCE" w:rsidRDefault="00E46BCE">
      <w:pPr>
        <w:spacing w:after="120"/>
      </w:pPr>
      <w:r>
        <w:t>Đề đạt tới mục địch nói trên ông tổng giám đốc nha công an được phép giao thiệp thẳng với các vị giám đốc các nha, các sở cũng như với các ủy ban hành chính cấp kỳ.</w:t>
      </w:r>
    </w:p>
    <w:p w14:paraId="154D9BB5" w14:textId="77777777" w:rsidR="00E46BCE" w:rsidRDefault="00E46BCE">
      <w:pPr>
        <w:spacing w:after="120"/>
      </w:pPr>
      <w:r>
        <w:rPr>
          <w:rFonts w:ascii="Arial" w:eastAsia="Arial" w:hAnsi="Arial" w:cs="Arial"/>
          <w:b/>
          <w:bCs/>
        </w:rPr>
        <w:t xml:space="preserve">Điều 17:– </w:t>
      </w:r>
      <w:r>
        <w:t>Ông giám đốc sở công an kỳ và trưởng ty công an tỉnh thuộc quyền kiểm soát về phương diện hành chính của các ủy ban hành chính cấp tương đương và phải thi hành ủy nhiệm cùng mệnh lệnh của các ủy ban hành chính, các cơ quan tư pháp cấp tương đương.</w:t>
      </w:r>
    </w:p>
    <w:p w14:paraId="5D5B1BC9" w14:textId="77777777" w:rsidR="00E46BCE" w:rsidRDefault="00E46BCE">
      <w:pPr>
        <w:spacing w:after="120"/>
        <w:jc w:val="center"/>
      </w:pPr>
      <w:r>
        <w:rPr>
          <w:rFonts w:ascii="Arial" w:eastAsia="Arial" w:hAnsi="Arial" w:cs="Arial"/>
          <w:b/>
          <w:bCs/>
        </w:rPr>
        <w:t>CÁC ĐIỀU KHOẢN CHUNG</w:t>
      </w:r>
    </w:p>
    <w:p w14:paraId="0B45CE3B" w14:textId="77777777" w:rsidR="00E46BCE" w:rsidRDefault="00E46BCE">
      <w:pPr>
        <w:spacing w:after="120"/>
      </w:pPr>
      <w:r>
        <w:rPr>
          <w:rFonts w:ascii="Arial" w:eastAsia="Arial" w:hAnsi="Arial" w:cs="Arial"/>
          <w:b/>
          <w:bCs/>
        </w:rPr>
        <w:t xml:space="preserve">Điều 18:– </w:t>
      </w:r>
      <w:r>
        <w:t>Thể lệ tuyên bố các nhân viên nha công an, ấn định ngạch, lương bổng, sắc phục và các chi tiết khác sẽ định sau.</w:t>
      </w:r>
    </w:p>
    <w:p w14:paraId="1005699B" w14:textId="77777777" w:rsidR="00E46BCE" w:rsidRDefault="00E46BCE">
      <w:pPr>
        <w:spacing w:after="120"/>
      </w:pPr>
      <w:r>
        <w:rPr>
          <w:rFonts w:ascii="Arial" w:eastAsia="Arial" w:hAnsi="Arial" w:cs="Arial"/>
          <w:b/>
          <w:bCs/>
        </w:rPr>
        <w:t xml:space="preserve">Điều 19:– </w:t>
      </w:r>
      <w:r>
        <w:t xml:space="preserve">Ông Đổng lý văn phòng bộ Nội vụ chịu ủy nhiệm thi hành nghị định này. </w:t>
      </w:r>
    </w:p>
    <w:p w14:paraId="3AB10D51" w14:textId="77777777" w:rsidR="00E46BCE" w:rsidRDefault="00E46BCE">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3"/>
        <w:gridCol w:w="8987"/>
      </w:tblGrid>
      <w:tr w:rsidR="00E46BCE" w14:paraId="4937C2B9"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558A422" w14:textId="77777777" w:rsidR="00E46BCE" w:rsidRDefault="00E46BCE">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49D7FAC" w14:textId="77777777" w:rsidR="00E46BCE" w:rsidRDefault="00E46BCE">
            <w:pPr>
              <w:jc w:val="center"/>
            </w:pPr>
            <w:r>
              <w:rPr>
                <w:rFonts w:ascii="Arial" w:eastAsia="Arial" w:hAnsi="Arial" w:cs="Arial"/>
                <w:b/>
                <w:bCs/>
              </w:rPr>
              <w:t>BỘ TRƯỞNG BỘ NỘI VỤ</w:t>
            </w:r>
            <w:r>
              <w:br/>
              <w:t> </w:t>
            </w:r>
            <w:r>
              <w:br/>
              <w:t> </w:t>
            </w:r>
            <w:r>
              <w:br/>
            </w:r>
            <w:r>
              <w:br/>
            </w:r>
            <w:r>
              <w:br/>
            </w:r>
            <w:r>
              <w:rPr>
                <w:rFonts w:ascii="Arial" w:eastAsia="Arial" w:hAnsi="Arial" w:cs="Arial"/>
                <w:b/>
                <w:bCs/>
              </w:rPr>
              <w:t>Huỳnh Thúc Kháng</w:t>
            </w:r>
          </w:p>
        </w:tc>
      </w:tr>
    </w:tbl>
    <w:p w14:paraId="7B3619DB" w14:textId="77777777" w:rsidR="00E46BCE" w:rsidRDefault="00E46BCE">
      <w:pPr>
        <w:spacing w:after="120"/>
        <w:jc w:val="center"/>
      </w:pPr>
      <w:r>
        <w:rPr>
          <w:rFonts w:ascii="Arial" w:eastAsia="Arial" w:hAnsi="Arial" w:cs="Arial"/>
          <w:b/>
          <w:bCs/>
        </w:rPr>
        <w:t> </w:t>
      </w:r>
    </w:p>
    <w:sectPr w:rsidR="00E46BC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9A3"/>
    <w:rsid w:val="00196A39"/>
    <w:rsid w:val="007259A3"/>
    <w:rsid w:val="00E46BCE"/>
    <w:rsid w:val="00F07A0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E362AD"/>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729</Words>
  <Characters>4157</Characters>
  <DocSecurity>0</DocSecurity>
  <Lines>34</Lines>
  <Paragraphs>9</Paragraphs>
  <ScaleCrop>false</ScaleCrop>
  <HeadingPairs>
    <vt:vector size="2" baseType="variant">
      <vt:variant>
        <vt:lpstr>Title</vt:lpstr>
      </vt:variant>
      <vt:variant>
        <vt:i4>1</vt:i4>
      </vt:variant>
    </vt:vector>
  </HeadingPairs>
  <TitlesOfParts>
    <vt:vector size="1" baseType="lpstr">
      <vt:lpstr>Nghị định 121-NV/NĐ</vt:lpstr>
    </vt:vector>
  </TitlesOfParts>
  <LinksUpToDate>false</LinksUpToDate>
  <CharactersWithSpaces>4877</CharactersWithSpaces>
  <SharedDoc>false</SharedDoc>
  <HyperlinkBase>http://vanbanphapluat.co/nghi-dinh-121-nv-nd-cong-an-vu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2022-07-29T02:46:00Z</dcterms:created>
  <dcterms:modified xsi:type="dcterms:W3CDTF">2022-07-29T02:46:00Z</dcterms:modified>
</cp:coreProperties>
</file>