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F79C1">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AF79C1" w:rsidRDefault="00AF79C1">
            <w:pPr>
              <w:jc w:val="center"/>
            </w:pPr>
            <w:bookmarkStart w:id="0" w:name="_GoBack"/>
            <w:bookmarkEnd w:id="0"/>
            <w:r>
              <w:rPr>
                <w:b/>
                <w:bCs/>
              </w:rPr>
              <w:t>BỘ TƯ PHÁP</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AF79C1" w:rsidRDefault="00AF79C1">
            <w:pPr>
              <w:jc w:val="center"/>
            </w:pPr>
            <w:r>
              <w:rPr>
                <w:b/>
                <w:bCs/>
              </w:rPr>
              <w:t>VIỆT NAM DÂN CHỦ CỘNG HÒA </w:t>
            </w:r>
            <w:r>
              <w:br/>
            </w:r>
            <w:r>
              <w:rPr>
                <w:b/>
                <w:bCs/>
              </w:rPr>
              <w:t>Độc lập - Tự do - Hạnh phúc</w:t>
            </w:r>
            <w:r>
              <w:rPr>
                <w:b/>
                <w:bCs/>
              </w:rPr>
              <w:br/>
            </w:r>
            <w:r>
              <w:t xml:space="preserve">******** </w:t>
            </w:r>
          </w:p>
        </w:tc>
      </w:tr>
      <w:tr w:rsidR="00AF79C1">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AF79C1" w:rsidRDefault="00AF79C1">
            <w:pPr>
              <w:jc w:val="center"/>
            </w:pPr>
            <w:r>
              <w:t xml:space="preserve">Số: 146-TP/NĐ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AF79C1" w:rsidRDefault="00AF79C1">
            <w:pPr>
              <w:jc w:val="right"/>
            </w:pPr>
            <w:r>
              <w:rPr>
                <w:i/>
                <w:iCs/>
              </w:rPr>
              <w:t>Hà Nội, ngày 04 tháng 05 năm 1946 </w:t>
            </w:r>
            <w:r>
              <w:t xml:space="preserve"> </w:t>
            </w:r>
          </w:p>
        </w:tc>
      </w:tr>
    </w:tbl>
    <w:p w:rsidR="00AF79C1" w:rsidRDefault="00AF79C1">
      <w:pPr>
        <w:spacing w:after="120"/>
      </w:pPr>
      <w:r>
        <w:rPr>
          <w:b/>
          <w:bCs/>
          <w:vanish/>
        </w:rPr>
        <w:t> </w:t>
      </w:r>
    </w:p>
    <w:p w:rsidR="00AF79C1" w:rsidRDefault="00AF79C1">
      <w:pPr>
        <w:spacing w:after="120"/>
        <w:jc w:val="center"/>
      </w:pPr>
      <w:r>
        <w:rPr>
          <w:b/>
          <w:bCs/>
        </w:rPr>
        <w:t>BỘ TRƯỞNG BỘ TƯ PHÁP</w:t>
      </w:r>
    </w:p>
    <w:p w:rsidR="00AF79C1" w:rsidRDefault="00AF79C1">
      <w:pPr>
        <w:spacing w:after="120"/>
      </w:pPr>
      <w:r>
        <w:t> </w:t>
      </w:r>
      <w:r>
        <w:rPr>
          <w:i/>
          <w:iCs/>
        </w:rPr>
        <w:t>Chiếu chỉ Sắc lệnh ngày 14 tháng 02 năm 1946 tổ chức các tòa án quân sự;</w:t>
      </w:r>
      <w:r>
        <w:rPr>
          <w:i/>
          <w:iCs/>
        </w:rPr>
        <w:br/>
        <w:t>Chiếu chỉ Sắc lệnh số 40 ngày 29 tháng 3 năm 1946 về bảo đảm tự do cá nhân;</w:t>
      </w:r>
      <w:r>
        <w:rPr>
          <w:i/>
          <w:iCs/>
        </w:rPr>
        <w:br/>
        <w:t>Chiếu chỉ Nghị định số 82 ngày 25 tháng 02 năm 1946 của Bộ trưởng Bộ Tư pháp về tòa án quân sự;</w:t>
      </w:r>
      <w:r>
        <w:rPr>
          <w:i/>
          <w:iCs/>
        </w:rPr>
        <w:br/>
        <w:t>Chiếu chỉ Nghị định số 125 ngày mồng 05 tháng 4 năm 1946 sửa đổi các điều 1 và điều 3 trong Nghị định số 82 nói trên,</w:t>
      </w:r>
    </w:p>
    <w:p w:rsidR="00AF79C1" w:rsidRDefault="00AF79C1">
      <w:pPr>
        <w:spacing w:after="120"/>
        <w:jc w:val="center"/>
      </w:pPr>
      <w:r>
        <w:rPr>
          <w:b/>
          <w:bCs/>
        </w:rPr>
        <w:t>NGHỊ ĐỊNH:</w:t>
      </w:r>
    </w:p>
    <w:p w:rsidR="00AF79C1" w:rsidRDefault="00AF79C1">
      <w:pPr>
        <w:spacing w:after="120"/>
      </w:pPr>
      <w:r>
        <w:rPr>
          <w:b/>
          <w:bCs/>
        </w:rPr>
        <w:t xml:space="preserve">Điều thứ nhất. – </w:t>
      </w:r>
      <w:r>
        <w:t>Điều</w:t>
      </w:r>
      <w:r>
        <w:rPr>
          <w:b/>
          <w:bCs/>
        </w:rPr>
        <w:t xml:space="preserve"> </w:t>
      </w:r>
      <w:r>
        <w:t>9 trong Nghị định số 82 ngày 25 tháng 02 năm 1946 nay sửa đổi như sau này:</w:t>
      </w:r>
    </w:p>
    <w:p w:rsidR="00AF79C1" w:rsidRDefault="00AF79C1">
      <w:pPr>
        <w:spacing w:after="120"/>
      </w:pPr>
      <w:r>
        <w:t>“Điều 9 mới. - Mỗi khi xẩy ra một việc gì có phương hại đến nền độc lập của nước Việt Nam Dân chủ Cộng hòa thì bất cứ ai cũng phải báo ngay cho ty công an hoặc nhà chức trách địa phương biết.</w:t>
      </w:r>
    </w:p>
    <w:p w:rsidR="00AF79C1" w:rsidRDefault="00AF79C1">
      <w:pPr>
        <w:spacing w:after="120"/>
      </w:pPr>
      <w:r>
        <w:t>“Ty công an trình lên công cáo ủy viên để hỏi huấn lệnh. Nếu việc cần kíp ông giám đốc công an có thể lãnh trách nhiệm điều tra ngay trước khi nhận được huấn luyện của công cáo ủy viên.</w:t>
      </w:r>
    </w:p>
    <w:p w:rsidR="00AF79C1" w:rsidRDefault="00AF79C1">
      <w:pPr>
        <w:spacing w:after="120"/>
      </w:pPr>
      <w:r>
        <w:t>“Ty công an khi mở cuộc điều tra, thu tập các tài liệu chứng cớ, hỏi các người làm chứng. Tất cả mọi hành động đều phải vào biên bản lập hồ sơ kíp gửi lên công cáo ủy viên”.</w:t>
      </w:r>
    </w:p>
    <w:p w:rsidR="00AF79C1" w:rsidRDefault="00AF79C1">
      <w:pPr>
        <w:spacing w:after="120"/>
      </w:pPr>
      <w:r>
        <w:rPr>
          <w:b/>
          <w:bCs/>
        </w:rPr>
        <w:t xml:space="preserve">Điều thứ 2. - </w:t>
      </w:r>
      <w:r>
        <w:t>Điều</w:t>
      </w:r>
      <w:r>
        <w:rPr>
          <w:b/>
          <w:bCs/>
        </w:rPr>
        <w:t xml:space="preserve"> </w:t>
      </w:r>
      <w:r>
        <w:t>24 trong Nghị định số 82 ngày 25 tháng 2 năm 1946 nay sửa đổi như sau này:</w:t>
      </w:r>
    </w:p>
    <w:p w:rsidR="00AF79C1" w:rsidRDefault="00AF79C1">
      <w:pPr>
        <w:spacing w:after="120"/>
      </w:pPr>
      <w:r>
        <w:t>“Điều 24 mới. – Tám ngày sau mỗi phiên tòa ông chánh án tòa án quân sự phải gửi một bản sao những bản án đã tuyên bố về bộ Tư pháp.</w:t>
      </w:r>
    </w:p>
    <w:p w:rsidR="00AF79C1" w:rsidRDefault="00AF79C1">
      <w:pPr>
        <w:spacing w:after="120"/>
      </w:pPr>
      <w:r>
        <w:t>“Cũng trong kỳ hạn ấy, sau mỗi phiên tòa công cáo ủy viên phải gửi riêng một tờ trình về Bộ Tư pháp về nhưng án đã tuyên và về tình hình dư luận cùng ý kiến riêng của mình”</w:t>
      </w:r>
    </w:p>
    <w:p w:rsidR="00AF79C1" w:rsidRDefault="00AF79C1">
      <w:pPr>
        <w:spacing w:after="120"/>
      </w:pPr>
      <w:r>
        <w:rPr>
          <w:b/>
          <w:bCs/>
        </w:rPr>
        <w:t xml:space="preserve">Điều thứ 3. – </w:t>
      </w:r>
      <w:r>
        <w:t>Ông Đổng lý sự vụ Bộ Tư pháp chiếu Nghị định thi hành.</w:t>
      </w:r>
    </w:p>
    <w:p w:rsidR="00AF79C1" w:rsidRDefault="00AF79C1">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
        <w:gridCol w:w="9008"/>
      </w:tblGrid>
      <w:tr w:rsidR="00AF79C1">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AF79C1" w:rsidRDefault="00AF79C1">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AF79C1" w:rsidRDefault="00AF79C1">
            <w:pPr>
              <w:jc w:val="center"/>
            </w:pPr>
            <w:r>
              <w:rPr>
                <w:b/>
                <w:bCs/>
              </w:rPr>
              <w:t>BỘ TRƯỞNG BỘ TƯ PHÁP</w:t>
            </w:r>
            <w:r>
              <w:br/>
            </w:r>
            <w:r>
              <w:br/>
            </w:r>
            <w:r>
              <w:br/>
              <w:t> </w:t>
            </w:r>
            <w:r>
              <w:br/>
              <w:t> </w:t>
            </w:r>
            <w:r>
              <w:br/>
            </w:r>
            <w:r>
              <w:rPr>
                <w:b/>
                <w:bCs/>
              </w:rPr>
              <w:t>Vũ Đình Hòe</w:t>
            </w:r>
          </w:p>
        </w:tc>
      </w:tr>
    </w:tbl>
    <w:p w:rsidR="00AF79C1" w:rsidRDefault="00AF79C1">
      <w:pPr>
        <w:spacing w:after="120"/>
      </w:pPr>
      <w:r>
        <w:t> </w:t>
      </w:r>
    </w:p>
    <w:sectPr w:rsidR="00AF79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84"/>
    <w:rsid w:val="00433A84"/>
    <w:rsid w:val="006F6E31"/>
    <w:rsid w:val="00AF79C1"/>
    <w:rsid w:val="00B919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1445</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Nghị định 146-TP/NĐ</vt:lpstr>
    </vt:vector>
  </TitlesOfParts>
  <LinksUpToDate>false</LinksUpToDate>
  <CharactersWithSpaces>1695</CharactersWithSpaces>
  <SharedDoc>false</SharedDoc>
  <HyperlinkBase>http://vanbanphapluat.co/nghi-dinh-146-tp-nd-toa-an-quan-su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2022-07-29T02:47:00Z</dcterms:created>
  <dcterms:modified xsi:type="dcterms:W3CDTF">2022-07-29T02:47:00Z</dcterms:modified>
</cp:coreProperties>
</file>