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66455A" w14:paraId="655B390D"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19D1151" w14:textId="77777777" w:rsidR="0066455A" w:rsidRDefault="0066455A">
            <w:pPr>
              <w:jc w:val="center"/>
            </w:pPr>
            <w:bookmarkStart w:id="0" w:name="_GoBack"/>
            <w:bookmarkEnd w:id="0"/>
            <w:r>
              <w:rPr>
                <w:b/>
                <w:bCs/>
              </w:rPr>
              <w:t>BỘ TÀI CHÍNH</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1AE435E" w14:textId="77777777" w:rsidR="0066455A" w:rsidRDefault="0066455A">
            <w:pPr>
              <w:jc w:val="center"/>
            </w:pPr>
            <w:r>
              <w:rPr>
                <w:b/>
                <w:bCs/>
              </w:rPr>
              <w:t>VIỆT NAM DÂN CHỦ CỘNG HÒA</w:t>
            </w:r>
            <w:r>
              <w:rPr>
                <w:b/>
                <w:bCs/>
              </w:rPr>
              <w:br/>
              <w:t>Độc lập - Tự do - Hạnh phúc</w:t>
            </w:r>
            <w:r>
              <w:rPr>
                <w:b/>
                <w:bCs/>
              </w:rPr>
              <w:br/>
            </w:r>
            <w:r>
              <w:t xml:space="preserve">******** </w:t>
            </w:r>
          </w:p>
        </w:tc>
      </w:tr>
      <w:tr w:rsidR="0066455A" w14:paraId="198000E8"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77A881A2" w14:textId="77777777" w:rsidR="0066455A" w:rsidRDefault="0066455A">
            <w:pPr>
              <w:jc w:val="center"/>
            </w:pPr>
            <w:r>
              <w:t xml:space="preserve">Số: 507-TC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68222DC" w14:textId="77777777" w:rsidR="0066455A" w:rsidRDefault="0066455A">
            <w:pPr>
              <w:jc w:val="right"/>
            </w:pPr>
            <w:r>
              <w:rPr>
                <w:i/>
                <w:iCs/>
              </w:rPr>
              <w:t xml:space="preserve">Hà Nội, ngày 01 tháng 07 năm 1946 </w:t>
            </w:r>
          </w:p>
        </w:tc>
      </w:tr>
    </w:tbl>
    <w:p w14:paraId="5EAF737C" w14:textId="77777777" w:rsidR="0066455A" w:rsidRDefault="0066455A">
      <w:pPr>
        <w:spacing w:after="120"/>
      </w:pPr>
      <w:r>
        <w:rPr>
          <w:b/>
          <w:bCs/>
          <w:vanish/>
        </w:rPr>
        <w:t> </w:t>
      </w:r>
    </w:p>
    <w:p w14:paraId="0BEE4686" w14:textId="77777777" w:rsidR="0066455A" w:rsidRDefault="0066455A">
      <w:pPr>
        <w:spacing w:after="120"/>
        <w:jc w:val="center"/>
      </w:pPr>
      <w:r>
        <w:rPr>
          <w:rFonts w:ascii="Arial" w:eastAsia="Arial" w:hAnsi="Arial" w:cs="Arial"/>
          <w:b/>
          <w:bCs/>
        </w:rPr>
        <w:t>NGHỊ ĐỊNH</w:t>
      </w:r>
    </w:p>
    <w:p w14:paraId="4F143A6D" w14:textId="77777777" w:rsidR="0066455A" w:rsidRDefault="0066455A">
      <w:pPr>
        <w:spacing w:after="120"/>
        <w:jc w:val="center"/>
      </w:pPr>
      <w:r>
        <w:rPr>
          <w:rFonts w:ascii="Arial" w:eastAsia="Arial" w:hAnsi="Arial" w:cs="Arial"/>
          <w:bCs/>
        </w:rPr>
        <w:t>VỀ CHẾ ĐỘ LƯƠNG BỔNG CÔNG CHỨC VIỆT NAM</w:t>
      </w:r>
    </w:p>
    <w:p w14:paraId="561246D5" w14:textId="77777777" w:rsidR="0066455A" w:rsidRDefault="0066455A">
      <w:pPr>
        <w:spacing w:after="120"/>
        <w:jc w:val="center"/>
      </w:pPr>
      <w:r>
        <w:rPr>
          <w:rFonts w:ascii="Arial" w:eastAsia="Arial" w:hAnsi="Arial" w:cs="Arial"/>
          <w:b/>
          <w:bCs/>
        </w:rPr>
        <w:t>BỘ TRƯỞNG BỘ TÀI CHÍNH</w:t>
      </w:r>
    </w:p>
    <w:p w14:paraId="16342E0D" w14:textId="77777777" w:rsidR="0066455A" w:rsidRDefault="0066455A">
      <w:pPr>
        <w:spacing w:after="120"/>
      </w:pPr>
      <w:r>
        <w:rPr>
          <w:i/>
          <w:iCs/>
        </w:rPr>
        <w:t>Chiếu chỉ những thể lệ hiện hành ấn định các ngạch và chế độ lương bổng công chức Việt Nam;</w:t>
      </w:r>
      <w:r>
        <w:rPr>
          <w:i/>
          <w:iCs/>
        </w:rPr>
        <w:br/>
        <w:t xml:space="preserve">Chiếu chỉ Sắc lệnh số 133 ngày 23 tháng 7 năm 1946 đặt ra phụ cấp bổ túc gạo đắt và định lương tối thiểu cho công chức; </w:t>
      </w:r>
      <w:r>
        <w:rPr>
          <w:i/>
          <w:iCs/>
        </w:rPr>
        <w:br/>
        <w:t>Sau khi thỏa hiệp cùng ông Bộ trưởng bộ Nội vụ,</w:t>
      </w:r>
    </w:p>
    <w:p w14:paraId="6AD765F0" w14:textId="77777777" w:rsidR="0066455A" w:rsidRDefault="0066455A">
      <w:pPr>
        <w:spacing w:after="120"/>
        <w:jc w:val="center"/>
      </w:pPr>
      <w:r>
        <w:rPr>
          <w:b/>
          <w:bCs/>
        </w:rPr>
        <w:t>NGHỊ ĐỊNH:</w:t>
      </w:r>
    </w:p>
    <w:p w14:paraId="646E9163" w14:textId="77777777" w:rsidR="0066455A" w:rsidRDefault="0066455A">
      <w:pPr>
        <w:spacing w:after="120"/>
      </w:pPr>
      <w:r>
        <w:rPr>
          <w:b/>
          <w:bCs/>
        </w:rPr>
        <w:t>Điều 1:.</w:t>
      </w:r>
      <w:r>
        <w:rPr>
          <w:b/>
          <w:bCs/>
          <w:i/>
          <w:iCs/>
        </w:rPr>
        <w:t xml:space="preserve"> </w:t>
      </w:r>
      <w:r>
        <w:t>Kể từ ngày 01 tháng 7 năm 1946 lương tối thiểu của công chức các hạng (chính ngạch, công nhật, làm có hợp đồng, làm khoán tháng hay làm tạm thời) nói trong điều thứ 10 Sắc lệnh số 133 ngày 23 tháng 7 năm 1946 tính như sau này:</w:t>
      </w:r>
    </w:p>
    <w:p w14:paraId="00CC5DB5" w14:textId="77777777" w:rsidR="0066455A" w:rsidRDefault="0066455A">
      <w:pPr>
        <w:spacing w:after="120"/>
      </w:pPr>
      <w:r>
        <w:t xml:space="preserve">a) 150 đ, ở Hà Nội và Hải Phòng. Nếu các khoản lương chính và phụ cấp của công chức (kể cả phụ cấp bổ túc gạo đắt đặt ra bởi Sắc lệnh số 133 ngày 23 tháng 7 năm 1946) cộng với các thứ phụ cấp (khu vực, gia đình, sinh hoạt đắt đỏ, tản cư, v.v....) cho vợ và con, chưa tới 150 đ. Số tổng cộng sẽ tăng lên đúng 150đ. </w:t>
      </w:r>
      <w:r>
        <w:rPr>
          <w:i/>
          <w:iCs/>
        </w:rPr>
        <w:t>Riêng phụ cấp bổ túc gạo đặt của vợ và con sẽ cộng vào số 150 đ. sau.</w:t>
      </w:r>
    </w:p>
    <w:p w14:paraId="3B339AF5" w14:textId="77777777" w:rsidR="0066455A" w:rsidRDefault="0066455A">
      <w:pPr>
        <w:spacing w:after="120"/>
      </w:pPr>
      <w:r>
        <w:rPr>
          <w:i/>
          <w:iCs/>
        </w:rPr>
        <w:t xml:space="preserve">b) 130 đ. ở các tỉnh khác. </w:t>
      </w:r>
      <w:r>
        <w:t>Cách tính cũng như trên.</w:t>
      </w:r>
    </w:p>
    <w:p w14:paraId="45CC774E" w14:textId="77777777" w:rsidR="0066455A" w:rsidRDefault="0066455A">
      <w:pPr>
        <w:spacing w:after="120"/>
      </w:pPr>
      <w:r>
        <w:rPr>
          <w:i/>
          <w:iCs/>
        </w:rPr>
        <w:t>Thí dụ:</w:t>
      </w:r>
      <w:r>
        <w:t xml:space="preserve"> Lương một người tùy phái tập sự tòng sự tại Phúc yên (khu vực thứ 5).</w:t>
      </w:r>
    </w:p>
    <w:p w14:paraId="5009C985" w14:textId="77777777" w:rsidR="0066455A" w:rsidRDefault="0066455A">
      <w:pPr>
        <w:spacing w:after="120"/>
      </w:pPr>
      <w:r>
        <w:rPr>
          <w:i/>
          <w:iCs/>
        </w:rPr>
        <w:t>Nếu chưa vợ:</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205"/>
        <w:gridCol w:w="1680"/>
        <w:gridCol w:w="2445"/>
      </w:tblGrid>
      <w:tr w:rsidR="0066455A" w14:paraId="5B342ED6" w14:textId="77777777">
        <w:tc>
          <w:tcPr>
            <w:tcW w:w="5205"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84D985" w14:textId="77777777" w:rsidR="0066455A" w:rsidRDefault="0066455A">
            <w:r>
              <w:t>Lương chính và lương phụ cấp tạm thời</w:t>
            </w:r>
          </w:p>
        </w:tc>
        <w:tc>
          <w:tcPr>
            <w:tcW w:w="168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9993DD" w14:textId="77777777" w:rsidR="0066455A" w:rsidRDefault="0066455A">
            <w:r>
              <w:t>...................</w:t>
            </w:r>
          </w:p>
        </w:tc>
        <w:tc>
          <w:tcPr>
            <w:tcW w:w="244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CA693D" w14:textId="77777777" w:rsidR="0066455A" w:rsidRDefault="0066455A">
            <w:pPr>
              <w:jc w:val="right"/>
            </w:pPr>
            <w:r>
              <w:t>38 đ00</w:t>
            </w:r>
          </w:p>
        </w:tc>
      </w:tr>
      <w:tr w:rsidR="0066455A" w14:paraId="0741ADE0" w14:textId="77777777">
        <w:tblPrEx>
          <w:tblBorders>
            <w:top w:val="none" w:sz="0" w:space="0" w:color="auto"/>
            <w:bottom w:val="none" w:sz="0" w:space="0" w:color="auto"/>
            <w:insideH w:val="none" w:sz="0" w:space="0" w:color="auto"/>
            <w:insideV w:val="none" w:sz="0" w:space="0" w:color="auto"/>
          </w:tblBorders>
        </w:tblPrEx>
        <w:tc>
          <w:tcPr>
            <w:tcW w:w="520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F5B43C" w14:textId="77777777" w:rsidR="0066455A" w:rsidRDefault="0066455A">
            <w:r>
              <w:t>Phụ cấp khu vực</w:t>
            </w:r>
          </w:p>
        </w:tc>
        <w:tc>
          <w:tcPr>
            <w:tcW w:w="16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10629A" w14:textId="77777777" w:rsidR="0066455A" w:rsidRDefault="0066455A">
            <w:r>
              <w:t>...................</w:t>
            </w:r>
          </w:p>
        </w:tc>
        <w:tc>
          <w:tcPr>
            <w:tcW w:w="24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A36AB6" w14:textId="77777777" w:rsidR="0066455A" w:rsidRDefault="0066455A">
            <w:pPr>
              <w:jc w:val="right"/>
            </w:pPr>
            <w:r>
              <w:t>4 đ00</w:t>
            </w:r>
          </w:p>
        </w:tc>
      </w:tr>
      <w:tr w:rsidR="0066455A" w14:paraId="4418DE63" w14:textId="77777777">
        <w:tblPrEx>
          <w:tblBorders>
            <w:top w:val="none" w:sz="0" w:space="0" w:color="auto"/>
            <w:bottom w:val="none" w:sz="0" w:space="0" w:color="auto"/>
            <w:insideH w:val="none" w:sz="0" w:space="0" w:color="auto"/>
            <w:insideV w:val="none" w:sz="0" w:space="0" w:color="auto"/>
          </w:tblBorders>
        </w:tblPrEx>
        <w:tc>
          <w:tcPr>
            <w:tcW w:w="520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B8111C" w14:textId="77777777" w:rsidR="0066455A" w:rsidRDefault="0066455A">
            <w:r>
              <w:t>Phụ cấp sinh hoạt</w:t>
            </w:r>
          </w:p>
        </w:tc>
        <w:tc>
          <w:tcPr>
            <w:tcW w:w="16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755BDB" w14:textId="77777777" w:rsidR="0066455A" w:rsidRDefault="0066455A">
            <w:r>
              <w:t>...................</w:t>
            </w:r>
          </w:p>
        </w:tc>
        <w:tc>
          <w:tcPr>
            <w:tcW w:w="24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519DA0" w14:textId="77777777" w:rsidR="0066455A" w:rsidRDefault="0066455A">
            <w:pPr>
              <w:jc w:val="right"/>
            </w:pPr>
            <w:r>
              <w:t xml:space="preserve">20 đ00 </w:t>
            </w:r>
          </w:p>
        </w:tc>
      </w:tr>
      <w:tr w:rsidR="0066455A" w14:paraId="79D8115C" w14:textId="77777777">
        <w:tblPrEx>
          <w:tblBorders>
            <w:top w:val="none" w:sz="0" w:space="0" w:color="auto"/>
            <w:bottom w:val="none" w:sz="0" w:space="0" w:color="auto"/>
            <w:insideH w:val="none" w:sz="0" w:space="0" w:color="auto"/>
            <w:insideV w:val="none" w:sz="0" w:space="0" w:color="auto"/>
          </w:tblBorders>
        </w:tblPrEx>
        <w:tc>
          <w:tcPr>
            <w:tcW w:w="520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185EF3" w14:textId="77777777" w:rsidR="0066455A" w:rsidRDefault="0066455A">
            <w:r>
              <w:t>Phụ cấp bổ túc gạo đắt (giá gạo 320 đ 1 tạ )</w:t>
            </w:r>
          </w:p>
        </w:tc>
        <w:tc>
          <w:tcPr>
            <w:tcW w:w="16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FF41BC" w14:textId="77777777" w:rsidR="0066455A" w:rsidRDefault="0066455A">
            <w:r>
              <w:t>...................</w:t>
            </w:r>
          </w:p>
        </w:tc>
        <w:tc>
          <w:tcPr>
            <w:tcW w:w="24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897848" w14:textId="77777777" w:rsidR="0066455A" w:rsidRDefault="0066455A">
            <w:pPr>
              <w:jc w:val="right"/>
            </w:pPr>
            <w:r>
              <w:t>15 đ00</w:t>
            </w:r>
          </w:p>
        </w:tc>
      </w:tr>
      <w:tr w:rsidR="0066455A" w14:paraId="0334C869" w14:textId="77777777">
        <w:tblPrEx>
          <w:tblBorders>
            <w:top w:val="none" w:sz="0" w:space="0" w:color="auto"/>
            <w:bottom w:val="none" w:sz="0" w:space="0" w:color="auto"/>
            <w:insideH w:val="none" w:sz="0" w:space="0" w:color="auto"/>
            <w:insideV w:val="none" w:sz="0" w:space="0" w:color="auto"/>
          </w:tblBorders>
        </w:tblPrEx>
        <w:tc>
          <w:tcPr>
            <w:tcW w:w="520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1EE0E4" w14:textId="77777777" w:rsidR="0066455A" w:rsidRDefault="0066455A">
            <w:r>
              <w:t> </w:t>
            </w:r>
          </w:p>
        </w:tc>
        <w:tc>
          <w:tcPr>
            <w:tcW w:w="16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A68F60" w14:textId="77777777" w:rsidR="0066455A" w:rsidRDefault="0066455A">
            <w:r>
              <w:t> </w:t>
            </w:r>
          </w:p>
        </w:tc>
        <w:tc>
          <w:tcPr>
            <w:tcW w:w="24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D73C27" w14:textId="77777777" w:rsidR="0066455A" w:rsidRDefault="0066455A">
            <w:pPr>
              <w:spacing w:after="120"/>
              <w:jc w:val="right"/>
            </w:pPr>
            <w:r>
              <w:t xml:space="preserve">77 đ00 </w:t>
            </w:r>
          </w:p>
          <w:p w14:paraId="342B7BAF" w14:textId="77777777" w:rsidR="0066455A" w:rsidRDefault="0066455A">
            <w:pPr>
              <w:jc w:val="right"/>
            </w:pPr>
            <w:r>
              <w:t>sẽ tăng lên…</w:t>
            </w:r>
            <w:r>
              <w:rPr>
                <w:u w:val="single"/>
              </w:rPr>
              <w:t>130 đ</w:t>
            </w:r>
          </w:p>
        </w:tc>
      </w:tr>
    </w:tbl>
    <w:p w14:paraId="1AF923D6" w14:textId="77777777" w:rsidR="0066455A" w:rsidRDefault="0066455A">
      <w:pPr>
        <w:spacing w:after="120"/>
      </w:pPr>
      <w:r>
        <w:rPr>
          <w:i/>
          <w:iCs/>
        </w:rPr>
        <w:t>Nếu có vợ:</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354"/>
        <w:gridCol w:w="1621"/>
        <w:gridCol w:w="2365"/>
      </w:tblGrid>
      <w:tr w:rsidR="0066455A" w14:paraId="006BAE17" w14:textId="77777777">
        <w:tc>
          <w:tcPr>
            <w:tcW w:w="558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E08B5B" w14:textId="77777777" w:rsidR="0066455A" w:rsidRDefault="0066455A">
            <w:r>
              <w:t>Phụ cấp khu vực cho vợ</w:t>
            </w:r>
          </w:p>
        </w:tc>
        <w:tc>
          <w:tcPr>
            <w:tcW w:w="165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4EFEE5" w14:textId="77777777" w:rsidR="0066455A" w:rsidRDefault="0066455A">
            <w:r>
              <w:t>…………</w:t>
            </w:r>
          </w:p>
        </w:tc>
        <w:tc>
          <w:tcPr>
            <w:tcW w:w="244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95730F" w14:textId="77777777" w:rsidR="0066455A" w:rsidRDefault="0066455A">
            <w:pPr>
              <w:jc w:val="right"/>
            </w:pPr>
            <w:r>
              <w:t>4 đ00</w:t>
            </w:r>
          </w:p>
        </w:tc>
      </w:tr>
      <w:tr w:rsidR="0066455A" w14:paraId="40B7FDD1" w14:textId="77777777">
        <w:tblPrEx>
          <w:tblBorders>
            <w:top w:val="none" w:sz="0" w:space="0" w:color="auto"/>
            <w:bottom w:val="none" w:sz="0" w:space="0" w:color="auto"/>
            <w:insideH w:val="none" w:sz="0" w:space="0" w:color="auto"/>
            <w:insideV w:val="none" w:sz="0" w:space="0" w:color="auto"/>
          </w:tblBorders>
        </w:tblPrEx>
        <w:tc>
          <w:tcPr>
            <w:tcW w:w="55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025F34" w14:textId="77777777" w:rsidR="0066455A" w:rsidRDefault="0066455A">
            <w:r>
              <w:t>Phụ cấp sinh hoạt đắt đỏ cho vợ</w:t>
            </w:r>
          </w:p>
        </w:tc>
        <w:tc>
          <w:tcPr>
            <w:tcW w:w="16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0B31BA" w14:textId="77777777" w:rsidR="0066455A" w:rsidRDefault="0066455A">
            <w:r>
              <w:t>…………</w:t>
            </w:r>
          </w:p>
        </w:tc>
        <w:tc>
          <w:tcPr>
            <w:tcW w:w="24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7FAA60" w14:textId="77777777" w:rsidR="0066455A" w:rsidRDefault="0066455A">
            <w:pPr>
              <w:jc w:val="right"/>
            </w:pPr>
            <w:r>
              <w:t>20 đ00</w:t>
            </w:r>
          </w:p>
        </w:tc>
      </w:tr>
      <w:tr w:rsidR="0066455A" w14:paraId="205397EA" w14:textId="77777777">
        <w:tblPrEx>
          <w:tblBorders>
            <w:top w:val="none" w:sz="0" w:space="0" w:color="auto"/>
            <w:bottom w:val="none" w:sz="0" w:space="0" w:color="auto"/>
            <w:insideH w:val="none" w:sz="0" w:space="0" w:color="auto"/>
            <w:insideV w:val="none" w:sz="0" w:space="0" w:color="auto"/>
          </w:tblBorders>
        </w:tblPrEx>
        <w:tc>
          <w:tcPr>
            <w:tcW w:w="55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9105B4" w14:textId="77777777" w:rsidR="0066455A" w:rsidRDefault="0066455A">
            <w:r>
              <w:t> </w:t>
            </w:r>
          </w:p>
        </w:tc>
        <w:tc>
          <w:tcPr>
            <w:tcW w:w="16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94AEDE" w14:textId="77777777" w:rsidR="0066455A" w:rsidRDefault="0066455A">
            <w:r>
              <w:t> </w:t>
            </w:r>
          </w:p>
        </w:tc>
        <w:tc>
          <w:tcPr>
            <w:tcW w:w="24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056AD1" w14:textId="77777777" w:rsidR="0066455A" w:rsidRDefault="0066455A">
            <w:pPr>
              <w:spacing w:after="120"/>
              <w:jc w:val="right"/>
            </w:pPr>
            <w:r>
              <w:t xml:space="preserve">101 đ90 </w:t>
            </w:r>
          </w:p>
          <w:p w14:paraId="08DFAA9F" w14:textId="77777777" w:rsidR="0066455A" w:rsidRDefault="0066455A">
            <w:pPr>
              <w:spacing w:after="120"/>
            </w:pPr>
            <w:r>
              <w:t xml:space="preserve">sẽ tăng lên: </w:t>
            </w:r>
            <w:r>
              <w:rPr>
                <w:u w:val="single"/>
              </w:rPr>
              <w:t>130 đ</w:t>
            </w:r>
            <w:r>
              <w:t xml:space="preserve"> </w:t>
            </w:r>
          </w:p>
          <w:p w14:paraId="07A14F4F" w14:textId="77777777" w:rsidR="0066455A" w:rsidRDefault="0066455A">
            <w:pPr>
              <w:spacing w:after="120"/>
            </w:pPr>
            <w:r>
              <w:rPr>
                <w:i/>
                <w:iCs/>
              </w:rPr>
              <w:t>Cộng thêm</w:t>
            </w:r>
            <w:r>
              <w:t xml:space="preserve"> : phụ cấp bổ túc gạo đắt cho vợ:… 15 đ</w:t>
            </w:r>
          </w:p>
          <w:p w14:paraId="526C505B" w14:textId="77777777" w:rsidR="0066455A" w:rsidRDefault="0066455A">
            <w:r>
              <w:lastRenderedPageBreak/>
              <w:t xml:space="preserve">Cộng: </w:t>
            </w:r>
            <w:r>
              <w:rPr>
                <w:u w:val="single"/>
              </w:rPr>
              <w:t>145 đ</w:t>
            </w:r>
          </w:p>
        </w:tc>
      </w:tr>
    </w:tbl>
    <w:p w14:paraId="41F7B237" w14:textId="77777777" w:rsidR="0066455A" w:rsidRDefault="0066455A">
      <w:pPr>
        <w:spacing w:after="120"/>
      </w:pPr>
      <w:r>
        <w:rPr>
          <w:i/>
          <w:iCs/>
        </w:rPr>
        <w:lastRenderedPageBreak/>
        <w:t>Nếu có con: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321"/>
        <w:gridCol w:w="1640"/>
        <w:gridCol w:w="2379"/>
      </w:tblGrid>
      <w:tr w:rsidR="0066455A" w14:paraId="633AB92E" w14:textId="77777777">
        <w:tc>
          <w:tcPr>
            <w:tcW w:w="558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7CC963" w14:textId="77777777" w:rsidR="0066455A" w:rsidRDefault="0066455A">
            <w:r>
              <w:t>Phụ cấp khu vực cho con</w:t>
            </w:r>
          </w:p>
        </w:tc>
        <w:tc>
          <w:tcPr>
            <w:tcW w:w="165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46B9E7" w14:textId="77777777" w:rsidR="0066455A" w:rsidRDefault="0066455A">
            <w:r>
              <w:t>………………</w:t>
            </w:r>
          </w:p>
        </w:tc>
        <w:tc>
          <w:tcPr>
            <w:tcW w:w="244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568BB8" w14:textId="77777777" w:rsidR="0066455A" w:rsidRDefault="0066455A">
            <w:pPr>
              <w:jc w:val="right"/>
            </w:pPr>
            <w:r>
              <w:t>1 đ00</w:t>
            </w:r>
          </w:p>
        </w:tc>
      </w:tr>
      <w:tr w:rsidR="0066455A" w14:paraId="1A2B1ADE" w14:textId="77777777">
        <w:tblPrEx>
          <w:tblBorders>
            <w:top w:val="none" w:sz="0" w:space="0" w:color="auto"/>
            <w:bottom w:val="none" w:sz="0" w:space="0" w:color="auto"/>
            <w:insideH w:val="none" w:sz="0" w:space="0" w:color="auto"/>
            <w:insideV w:val="none" w:sz="0" w:space="0" w:color="auto"/>
          </w:tblBorders>
        </w:tblPrEx>
        <w:tc>
          <w:tcPr>
            <w:tcW w:w="55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DF0169" w14:textId="77777777" w:rsidR="0066455A" w:rsidRDefault="0066455A">
            <w:r>
              <w:t>Phụ cấp gia đình cho con</w:t>
            </w:r>
          </w:p>
        </w:tc>
        <w:tc>
          <w:tcPr>
            <w:tcW w:w="16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4601F9" w14:textId="77777777" w:rsidR="0066455A" w:rsidRDefault="0066455A">
            <w:r>
              <w:t>………………</w:t>
            </w:r>
          </w:p>
        </w:tc>
        <w:tc>
          <w:tcPr>
            <w:tcW w:w="24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C6655B" w14:textId="77777777" w:rsidR="0066455A" w:rsidRDefault="0066455A">
            <w:pPr>
              <w:jc w:val="right"/>
            </w:pPr>
            <w:r>
              <w:t>3 đ00</w:t>
            </w:r>
          </w:p>
        </w:tc>
      </w:tr>
      <w:tr w:rsidR="0066455A" w14:paraId="0936B8C1" w14:textId="77777777">
        <w:tblPrEx>
          <w:tblBorders>
            <w:top w:val="none" w:sz="0" w:space="0" w:color="auto"/>
            <w:bottom w:val="none" w:sz="0" w:space="0" w:color="auto"/>
            <w:insideH w:val="none" w:sz="0" w:space="0" w:color="auto"/>
            <w:insideV w:val="none" w:sz="0" w:space="0" w:color="auto"/>
          </w:tblBorders>
        </w:tblPrEx>
        <w:tc>
          <w:tcPr>
            <w:tcW w:w="55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B28314" w14:textId="77777777" w:rsidR="0066455A" w:rsidRDefault="0066455A">
            <w:r>
              <w:t>Phụ cấp sinh hoạt đắt đỏ cho con</w:t>
            </w:r>
          </w:p>
        </w:tc>
        <w:tc>
          <w:tcPr>
            <w:tcW w:w="16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5B543C" w14:textId="77777777" w:rsidR="0066455A" w:rsidRDefault="0066455A">
            <w:r>
              <w:t>………………</w:t>
            </w:r>
          </w:p>
        </w:tc>
        <w:tc>
          <w:tcPr>
            <w:tcW w:w="24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BB3D97" w14:textId="77777777" w:rsidR="0066455A" w:rsidRDefault="0066455A">
            <w:pPr>
              <w:jc w:val="right"/>
            </w:pPr>
            <w:r>
              <w:t>10 đ00</w:t>
            </w:r>
          </w:p>
        </w:tc>
      </w:tr>
      <w:tr w:rsidR="0066455A" w14:paraId="6D5A21DD" w14:textId="77777777">
        <w:tblPrEx>
          <w:tblBorders>
            <w:top w:val="none" w:sz="0" w:space="0" w:color="auto"/>
            <w:bottom w:val="none" w:sz="0" w:space="0" w:color="auto"/>
            <w:insideH w:val="none" w:sz="0" w:space="0" w:color="auto"/>
            <w:insideV w:val="none" w:sz="0" w:space="0" w:color="auto"/>
          </w:tblBorders>
        </w:tblPrEx>
        <w:tc>
          <w:tcPr>
            <w:tcW w:w="558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5A7100" w14:textId="77777777" w:rsidR="0066455A" w:rsidRDefault="0066455A">
            <w:r>
              <w:t> </w:t>
            </w:r>
          </w:p>
        </w:tc>
        <w:tc>
          <w:tcPr>
            <w:tcW w:w="16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ADB8E9" w14:textId="77777777" w:rsidR="0066455A" w:rsidRDefault="0066455A">
            <w:r>
              <w:rPr>
                <w:i/>
                <w:iCs/>
              </w:rPr>
              <w:t> </w:t>
            </w:r>
          </w:p>
        </w:tc>
        <w:tc>
          <w:tcPr>
            <w:tcW w:w="24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9B870F" w14:textId="77777777" w:rsidR="0066455A" w:rsidRDefault="0066455A">
            <w:pPr>
              <w:spacing w:after="120"/>
              <w:jc w:val="right"/>
            </w:pPr>
            <w:r>
              <w:t>115 đ90</w:t>
            </w:r>
          </w:p>
          <w:p w14:paraId="6798F7B4" w14:textId="77777777" w:rsidR="0066455A" w:rsidRDefault="0066455A">
            <w:pPr>
              <w:spacing w:after="120"/>
            </w:pPr>
            <w:r>
              <w:t>sẽ tăng lên …130 đ</w:t>
            </w:r>
          </w:p>
          <w:p w14:paraId="7263A980" w14:textId="77777777" w:rsidR="0066455A" w:rsidRDefault="0066455A">
            <w:pPr>
              <w:spacing w:after="120"/>
            </w:pPr>
            <w:r>
              <w:rPr>
                <w:i/>
                <w:iCs/>
              </w:rPr>
              <w:t>Cộng thêm:</w:t>
            </w:r>
            <w:r>
              <w:t xml:space="preserve"> phụ cấp bổ túc gạo đắt: </w:t>
            </w:r>
          </w:p>
          <w:p w14:paraId="746A9007" w14:textId="77777777" w:rsidR="0066455A" w:rsidRDefault="0066455A">
            <w:pPr>
              <w:spacing w:after="120"/>
            </w:pPr>
            <w:r>
              <w:t xml:space="preserve">cho vợ: 15 đ </w:t>
            </w:r>
          </w:p>
          <w:p w14:paraId="3724588D" w14:textId="77777777" w:rsidR="0066455A" w:rsidRDefault="0066455A">
            <w:pPr>
              <w:spacing w:after="120"/>
            </w:pPr>
            <w:r>
              <w:t xml:space="preserve">cho con: 15 đ </w:t>
            </w:r>
          </w:p>
          <w:p w14:paraId="0865E461" w14:textId="77777777" w:rsidR="0066455A" w:rsidRDefault="0066455A">
            <w:pPr>
              <w:spacing w:after="120"/>
            </w:pPr>
            <w:r>
              <w:t> </w:t>
            </w:r>
            <w:r>
              <w:rPr>
                <w:u w:val="single"/>
              </w:rPr>
              <w:t xml:space="preserve">30đ </w:t>
            </w:r>
          </w:p>
          <w:p w14:paraId="47F717D5" w14:textId="77777777" w:rsidR="0066455A" w:rsidRDefault="0066455A">
            <w:r>
              <w:t>Cộng....</w:t>
            </w:r>
            <w:r>
              <w:rPr>
                <w:u w:val="single"/>
              </w:rPr>
              <w:t>160 đ</w:t>
            </w:r>
            <w:r>
              <w:t xml:space="preserve"> </w:t>
            </w:r>
          </w:p>
        </w:tc>
      </w:tr>
    </w:tbl>
    <w:p w14:paraId="35D2132C" w14:textId="77777777" w:rsidR="0066455A" w:rsidRDefault="0066455A">
      <w:pPr>
        <w:spacing w:after="120"/>
      </w:pPr>
      <w:r>
        <w:rPr>
          <w:b/>
          <w:bCs/>
          <w:i/>
          <w:iCs/>
        </w:rPr>
        <w:t> </w:t>
      </w:r>
    </w:p>
    <w:p w14:paraId="57364A70" w14:textId="77777777" w:rsidR="0066455A" w:rsidRDefault="0066455A">
      <w:pPr>
        <w:spacing w:after="120"/>
      </w:pPr>
      <w:r>
        <w:rPr>
          <w:b/>
          <w:bCs/>
        </w:rPr>
        <w:t>Điều 2</w:t>
      </w:r>
      <w:r>
        <w:rPr>
          <w:b/>
          <w:bCs/>
          <w:i/>
          <w:iCs/>
        </w:rPr>
        <w:t>.</w:t>
      </w:r>
      <w:r>
        <w:rPr>
          <w:i/>
          <w:iCs/>
        </w:rPr>
        <w:t xml:space="preserve"> </w:t>
      </w:r>
      <w:r>
        <w:t>Ông Đổng lý sự vụ bộ Tài chính</w:t>
      </w:r>
      <w:r>
        <w:rPr>
          <w:i/>
          <w:iCs/>
        </w:rPr>
        <w:t xml:space="preserve"> </w:t>
      </w:r>
      <w:r>
        <w:t>và ông giám đốc</w:t>
      </w:r>
      <w:r>
        <w:rPr>
          <w:i/>
          <w:iCs/>
        </w:rPr>
        <w:t xml:space="preserve"> </w:t>
      </w:r>
      <w:r>
        <w:t>nha Ngân khố Quốc gia chịu ủy nhiệm thi hành Nghị định này.</w:t>
      </w:r>
    </w:p>
    <w:p w14:paraId="58D28127" w14:textId="77777777" w:rsidR="0066455A" w:rsidRDefault="0066455A">
      <w:pPr>
        <w:spacing w:after="120"/>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08"/>
        <w:gridCol w:w="5152"/>
      </w:tblGrid>
      <w:tr w:rsidR="0066455A" w14:paraId="04AE311E" w14:textId="77777777">
        <w:tc>
          <w:tcPr>
            <w:tcW w:w="2248" w:type="pct"/>
            <w:tcBorders>
              <w:top w:val="nil"/>
              <w:left w:val="nil"/>
              <w:bottom w:val="nil"/>
              <w:right w:val="nil"/>
              <w:tl2br w:val="nil"/>
              <w:tr2bl w:val="nil"/>
            </w:tcBorders>
            <w:shd w:val="clear" w:color="auto" w:fill="auto"/>
            <w:tcMar>
              <w:top w:w="0" w:type="dxa"/>
              <w:left w:w="0" w:type="dxa"/>
              <w:bottom w:w="0" w:type="dxa"/>
              <w:right w:w="0" w:type="dxa"/>
            </w:tcMar>
          </w:tcPr>
          <w:p w14:paraId="1EB1A689" w14:textId="77777777" w:rsidR="0066455A" w:rsidRDefault="0066455A">
            <w:pPr>
              <w:jc w:val="center"/>
            </w:pPr>
            <w:r>
              <w:rPr>
                <w:rFonts w:ascii="Arial" w:eastAsia="Arial" w:hAnsi="Arial" w:cs="Arial"/>
                <w:b/>
                <w:bCs/>
              </w:rPr>
              <w:t> </w:t>
            </w:r>
          </w:p>
        </w:tc>
        <w:tc>
          <w:tcPr>
            <w:tcW w:w="2752" w:type="pct"/>
            <w:tcBorders>
              <w:top w:val="nil"/>
              <w:left w:val="nil"/>
              <w:bottom w:val="nil"/>
              <w:right w:val="nil"/>
              <w:tl2br w:val="nil"/>
              <w:tr2bl w:val="nil"/>
            </w:tcBorders>
            <w:shd w:val="clear" w:color="auto" w:fill="auto"/>
            <w:tcMar>
              <w:top w:w="30" w:type="dxa"/>
              <w:left w:w="30" w:type="dxa"/>
              <w:bottom w:w="30" w:type="dxa"/>
              <w:right w:w="30" w:type="dxa"/>
            </w:tcMar>
          </w:tcPr>
          <w:p w14:paraId="204EA8CB" w14:textId="77777777" w:rsidR="0066455A" w:rsidRDefault="0066455A">
            <w:pPr>
              <w:jc w:val="center"/>
            </w:pPr>
            <w:r>
              <w:rPr>
                <w:rFonts w:ascii="Arial" w:eastAsia="Arial" w:hAnsi="Arial" w:cs="Arial"/>
                <w:b/>
                <w:bCs/>
              </w:rPr>
              <w:t>BỘ TRƯỞNG BỘ TÀI CHÍNH</w:t>
            </w:r>
            <w:r>
              <w:br/>
            </w:r>
            <w:r>
              <w:br/>
            </w:r>
            <w:r>
              <w:br/>
            </w:r>
            <w:r>
              <w:br/>
            </w:r>
            <w:r>
              <w:br/>
            </w:r>
            <w:r>
              <w:rPr>
                <w:rFonts w:ascii="Arial" w:eastAsia="Arial" w:hAnsi="Arial" w:cs="Arial"/>
                <w:b/>
                <w:bCs/>
              </w:rPr>
              <w:t>Lê Văn Hiến</w:t>
            </w:r>
            <w:r>
              <w:t> </w:t>
            </w:r>
          </w:p>
        </w:tc>
      </w:tr>
    </w:tbl>
    <w:p w14:paraId="299EF64F" w14:textId="77777777" w:rsidR="0066455A" w:rsidRDefault="0066455A">
      <w:pPr>
        <w:spacing w:after="120"/>
      </w:pPr>
      <w:r>
        <w:t> </w:t>
      </w:r>
    </w:p>
    <w:sectPr w:rsidR="0066455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F97"/>
    <w:rsid w:val="0003530F"/>
    <w:rsid w:val="0066455A"/>
    <w:rsid w:val="00E404E1"/>
    <w:rsid w:val="00F30F9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8CE27B"/>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1795</Characters>
  <DocSecurity>0</DocSecurity>
  <Lines>14</Lines>
  <Paragraphs>4</Paragraphs>
  <ScaleCrop>false</ScaleCrop>
  <HeadingPairs>
    <vt:vector size="2" baseType="variant">
      <vt:variant>
        <vt:lpstr>Title</vt:lpstr>
      </vt:variant>
      <vt:variant>
        <vt:i4>1</vt:i4>
      </vt:variant>
    </vt:vector>
  </HeadingPairs>
  <TitlesOfParts>
    <vt:vector size="1" baseType="lpstr">
      <vt:lpstr>Nghị định 507-TC</vt:lpstr>
    </vt:vector>
  </TitlesOfParts>
  <LinksUpToDate>false</LinksUpToDate>
  <CharactersWithSpaces>2105</CharactersWithSpaces>
  <SharedDoc>false</SharedDoc>
  <HyperlinkBase>http://vanbanphapluat.co/nghi-dinh-507-tc-che-do-luong-bong-cong-chuc-viet-nam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2022-07-29T02:49:00Z</dcterms:created>
  <dcterms:modified xsi:type="dcterms:W3CDTF">2022-07-29T02:49:00Z</dcterms:modified>
</cp:coreProperties>
</file>