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A424"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bookmarkStart w:id="0" w:name="loai_pl10"/>
      <w:r w:rsidRPr="00122775">
        <w:rPr>
          <w:rFonts w:eastAsia="Times New Roman" w:cs="Times New Roman"/>
          <w:b/>
          <w:bCs/>
          <w:sz w:val="24"/>
          <w:szCs w:val="24"/>
          <w:lang w:val="vi-VN" w:eastAsia="vi-VN"/>
        </w:rPr>
        <w:t>PHỤ LỤC SỐ 11</w:t>
      </w:r>
      <w:bookmarkEnd w:id="0"/>
    </w:p>
    <w:p w14:paraId="41B2D2FE"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bookmarkStart w:id="1" w:name="loai_pl10_name"/>
      <w:r w:rsidRPr="00122775">
        <w:rPr>
          <w:rFonts w:eastAsia="Times New Roman" w:cs="Times New Roman"/>
          <w:sz w:val="24"/>
          <w:szCs w:val="24"/>
          <w:lang w:val="vi-VN" w:eastAsia="vi-VN"/>
        </w:rPr>
        <w:t>MẪU BÁO CÁO TÌNH HÌNH HOẠT ĐỘNG QUẢN LÝ DANH MỤC ĐẦU TƯ</w:t>
      </w:r>
      <w:r w:rsidRPr="00122775">
        <w:rPr>
          <w:rFonts w:eastAsia="Times New Roman" w:cs="Times New Roman"/>
          <w:sz w:val="24"/>
          <w:szCs w:val="24"/>
          <w:lang w:val="vi-VN" w:eastAsia="vi-VN"/>
        </w:rPr>
        <w:br/>
      </w:r>
      <w:bookmarkEnd w:id="1"/>
      <w:r w:rsidRPr="00122775">
        <w:rPr>
          <w:rFonts w:eastAsia="Times New Roman" w:cs="Times New Roman"/>
          <w:i/>
          <w:iCs/>
          <w:sz w:val="24"/>
          <w:szCs w:val="24"/>
          <w:lang w:val="vi-VN" w:eastAsia="vi-VN"/>
        </w:rPr>
        <w:t>(Ban hành kèm theo Thông tư số 91/2013/TT-BTC ngày 28 tháng 6 năm 2013 của Bộ Tài chính hướng dẫn đăng ký thành lập, tổ chức và hoạt động văn phòng đại diện tổ chức kinh doanh chứng khoán nước ngoài, chi nhánh công ty quản lý quỹ nước ngoài tại Việt Nam)</w:t>
      </w:r>
    </w:p>
    <w:p w14:paraId="045532EB" w14:textId="77777777" w:rsidR="00122775" w:rsidRPr="00122775" w:rsidRDefault="00122775" w:rsidP="00122775">
      <w:pPr>
        <w:spacing w:before="120" w:after="120" w:line="240" w:lineRule="auto"/>
        <w:jc w:val="center"/>
        <w:rPr>
          <w:rFonts w:eastAsia="Times New Roman" w:cs="Times New Roman"/>
          <w:szCs w:val="28"/>
          <w:lang w:val="vi-VN" w:eastAsia="vi-VN"/>
        </w:rPr>
      </w:pPr>
      <w:r w:rsidRPr="00122775">
        <w:rPr>
          <w:rFonts w:eastAsia="Times New Roman" w:cs="Times New Roman"/>
          <w:b/>
          <w:bCs/>
          <w:szCs w:val="28"/>
          <w:lang w:val="vi-VN" w:eastAsia="vi-VN"/>
        </w:rPr>
        <w:t>Báo cáo tình hình hoạt động quản lý danh mục đầu tư</w:t>
      </w:r>
    </w:p>
    <w:p w14:paraId="538F1046"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i/>
          <w:iCs/>
          <w:sz w:val="24"/>
          <w:szCs w:val="24"/>
          <w:lang w:val="vi-VN" w:eastAsia="vi-VN"/>
        </w:rPr>
        <w:t>(Tháng/năm)</w:t>
      </w:r>
    </w:p>
    <w:p w14:paraId="32704265" w14:textId="69A5B923" w:rsidR="00122775" w:rsidRPr="00122775" w:rsidRDefault="00122775" w:rsidP="00122775">
      <w:pPr>
        <w:tabs>
          <w:tab w:val="center" w:leader="dot" w:pos="9720"/>
        </w:tabs>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xml:space="preserve">1. Tên chi nhánh công ty quản lý quỹ nước ngoài: </w:t>
      </w:r>
      <w:r>
        <w:rPr>
          <w:rFonts w:eastAsia="Times New Roman" w:cs="Times New Roman"/>
          <w:sz w:val="24"/>
          <w:szCs w:val="24"/>
          <w:lang w:val="vi-VN" w:eastAsia="vi-VN"/>
        </w:rPr>
        <w:tab/>
      </w:r>
    </w:p>
    <w:p w14:paraId="17AFE4ED" w14:textId="68BF0992" w:rsidR="00122775" w:rsidRPr="00122775" w:rsidRDefault="00122775" w:rsidP="00122775">
      <w:pPr>
        <w:tabs>
          <w:tab w:val="center" w:leader="dot" w:pos="9720"/>
        </w:tabs>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xml:space="preserve">2. Tên ngân hàng lưu ký: </w:t>
      </w:r>
      <w:r>
        <w:rPr>
          <w:rFonts w:eastAsia="Times New Roman" w:cs="Times New Roman"/>
          <w:sz w:val="24"/>
          <w:szCs w:val="24"/>
          <w:lang w:val="vi-VN" w:eastAsia="vi-VN"/>
        </w:rPr>
        <w:tab/>
      </w:r>
    </w:p>
    <w:p w14:paraId="51EE0F78" w14:textId="69E99ACA" w:rsidR="00122775" w:rsidRPr="00122775" w:rsidRDefault="00122775" w:rsidP="00122775">
      <w:pPr>
        <w:tabs>
          <w:tab w:val="center" w:leader="dot" w:pos="9720"/>
        </w:tabs>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xml:space="preserve">3. Tài khoản lưu ký: </w:t>
      </w:r>
      <w:r>
        <w:rPr>
          <w:rFonts w:eastAsia="Times New Roman" w:cs="Times New Roman"/>
          <w:sz w:val="24"/>
          <w:szCs w:val="24"/>
          <w:lang w:val="vi-VN" w:eastAsia="vi-VN"/>
        </w:rPr>
        <w:tab/>
      </w:r>
    </w:p>
    <w:p w14:paraId="34D4515A" w14:textId="41E42D2C" w:rsidR="00122775" w:rsidRPr="00122775" w:rsidRDefault="00122775" w:rsidP="00122775">
      <w:pPr>
        <w:tabs>
          <w:tab w:val="center" w:leader="dot" w:pos="9720"/>
        </w:tabs>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xml:space="preserve">4. Ngày lập báo cáo: </w:t>
      </w:r>
      <w:r>
        <w:rPr>
          <w:rFonts w:eastAsia="Times New Roman" w:cs="Times New Roman"/>
          <w:sz w:val="24"/>
          <w:szCs w:val="24"/>
          <w:lang w:val="vi-VN" w:eastAsia="vi-VN"/>
        </w:rPr>
        <w:tab/>
      </w:r>
    </w:p>
    <w:p w14:paraId="5041AC9B"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b/>
          <w:bCs/>
          <w:sz w:val="24"/>
          <w:szCs w:val="24"/>
          <w:lang w:val="vi-VN" w:eastAsia="vi-VN"/>
        </w:rPr>
        <w:t>I. Thông tin chung về tình hình quản lý danh mục đầu tư</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21"/>
        <w:gridCol w:w="4443"/>
        <w:gridCol w:w="2642"/>
        <w:gridCol w:w="1057"/>
        <w:gridCol w:w="1066"/>
      </w:tblGrid>
      <w:tr w:rsidR="00122775" w:rsidRPr="00122775" w14:paraId="52EEBDCB" w14:textId="77777777" w:rsidTr="00122775">
        <w:trPr>
          <w:jc w:val="center"/>
        </w:trPr>
        <w:tc>
          <w:tcPr>
            <w:tcW w:w="37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79805"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STT</w:t>
            </w:r>
          </w:p>
        </w:tc>
        <w:tc>
          <w:tcPr>
            <w:tcW w:w="403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A5E6"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Chỉ tiêu</w:t>
            </w:r>
          </w:p>
        </w:tc>
        <w:tc>
          <w:tcPr>
            <w:tcW w:w="240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C373B"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Kỳ báo cáo</w:t>
            </w:r>
          </w:p>
        </w:tc>
        <w:tc>
          <w:tcPr>
            <w:tcW w:w="96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FB8A3"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Kỳ trước</w:t>
            </w:r>
          </w:p>
        </w:tc>
        <w:tc>
          <w:tcPr>
            <w:tcW w:w="96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B15C4"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Ghi chú</w:t>
            </w:r>
          </w:p>
        </w:tc>
      </w:tr>
      <w:tr w:rsidR="00122775" w:rsidRPr="00122775" w14:paraId="5521ADBA"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37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3FA6D"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1</w:t>
            </w:r>
          </w:p>
        </w:tc>
        <w:tc>
          <w:tcPr>
            <w:tcW w:w="40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AEDBB"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 số Hợp đồng quản lý đầu tư đang thực hiện</w:t>
            </w:r>
          </w:p>
          <w:p w14:paraId="6EDEF95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 chức (%)</w:t>
            </w:r>
          </w:p>
          <w:p w14:paraId="7B11949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Cá nhân (%)</w:t>
            </w:r>
          </w:p>
        </w:tc>
        <w:tc>
          <w:tcPr>
            <w:tcW w:w="24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D5D9C"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9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D08E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B810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55790312"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37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29DCD"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2</w:t>
            </w:r>
          </w:p>
        </w:tc>
        <w:tc>
          <w:tcPr>
            <w:tcW w:w="40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C8429"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 giá trị các Hợp đồng quản lý đầu tư (Hợp đồng khung)</w:t>
            </w:r>
          </w:p>
          <w:p w14:paraId="25A6E5B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 chức (%)</w:t>
            </w:r>
          </w:p>
          <w:p w14:paraId="0EC6BE7A"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Cá nhân (%)</w:t>
            </w:r>
          </w:p>
        </w:tc>
        <w:tc>
          <w:tcPr>
            <w:tcW w:w="24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5F58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9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855F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7BC2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7A1DD21F"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37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7B583"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3</w:t>
            </w:r>
          </w:p>
        </w:tc>
        <w:tc>
          <w:tcPr>
            <w:tcW w:w="40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B329C"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 giá trị các Hợp đồng quản lý đầu tư (Giá trị giải ngân thực tế)</w:t>
            </w:r>
          </w:p>
          <w:p w14:paraId="1E518A94"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 chức (%)</w:t>
            </w:r>
          </w:p>
          <w:p w14:paraId="393E05A4"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Cá nhân (%)</w:t>
            </w:r>
          </w:p>
        </w:tc>
        <w:tc>
          <w:tcPr>
            <w:tcW w:w="24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B2F0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9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91B0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FC24C"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58D83C15"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37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2DA68"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4</w:t>
            </w:r>
          </w:p>
        </w:tc>
        <w:tc>
          <w:tcPr>
            <w:tcW w:w="40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1BE6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 giá trị thị trường các danh mục đầu tư</w:t>
            </w:r>
          </w:p>
          <w:p w14:paraId="1E01F0C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 chức (%)</w:t>
            </w:r>
          </w:p>
          <w:p w14:paraId="4B7EABBA"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Cá nhân (%)</w:t>
            </w:r>
          </w:p>
        </w:tc>
        <w:tc>
          <w:tcPr>
            <w:tcW w:w="24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EE99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9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3483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5B54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46CFFAE8"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37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5E2EB"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5</w:t>
            </w:r>
          </w:p>
        </w:tc>
        <w:tc>
          <w:tcPr>
            <w:tcW w:w="40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F43C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 số phí QLDMĐT thu được trong kỳ</w:t>
            </w:r>
          </w:p>
        </w:tc>
        <w:tc>
          <w:tcPr>
            <w:tcW w:w="24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85DF2"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9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8E45C"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D4FEC"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1F29452E"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37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97EF5"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6</w:t>
            </w:r>
          </w:p>
        </w:tc>
        <w:tc>
          <w:tcPr>
            <w:tcW w:w="40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84D54"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Tỷ lệ phí QLDMĐT bình quân (5/4)</w:t>
            </w:r>
          </w:p>
        </w:tc>
        <w:tc>
          <w:tcPr>
            <w:tcW w:w="24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B5E9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9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7AC5B"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BE412"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bl>
    <w:p w14:paraId="0D4FC9DC"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b/>
          <w:bCs/>
          <w:sz w:val="24"/>
          <w:szCs w:val="24"/>
          <w:lang w:val="vi-VN" w:eastAsia="vi-VN"/>
        </w:rPr>
        <w:t>II. Tình hình giao dịch của hoạt động quản lý danh mục đầu tư trong kỳ</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695"/>
        <w:gridCol w:w="993"/>
        <w:gridCol w:w="1717"/>
        <w:gridCol w:w="1186"/>
        <w:gridCol w:w="2040"/>
        <w:gridCol w:w="2098"/>
      </w:tblGrid>
      <w:tr w:rsidR="00122775" w:rsidRPr="00122775" w14:paraId="135E8BC5" w14:textId="77777777" w:rsidTr="00122775">
        <w:trPr>
          <w:jc w:val="center"/>
        </w:trPr>
        <w:tc>
          <w:tcPr>
            <w:tcW w:w="2409"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FFAFB9"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Mua</w:t>
            </w:r>
          </w:p>
        </w:tc>
        <w:tc>
          <w:tcPr>
            <w:tcW w:w="2602" w:type="dxa"/>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052BE5"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Bán</w:t>
            </w:r>
          </w:p>
        </w:tc>
        <w:tc>
          <w:tcPr>
            <w:tcW w:w="3710" w:type="dxa"/>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71A1F2"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 xml:space="preserve">Tổng giá trị giao dịch/tổng giá trị </w:t>
            </w:r>
            <w:r w:rsidRPr="00122775">
              <w:rPr>
                <w:rFonts w:eastAsia="Times New Roman" w:cs="Times New Roman"/>
                <w:b/>
                <w:bCs/>
                <w:sz w:val="24"/>
                <w:szCs w:val="24"/>
                <w:lang w:val="vi-VN" w:eastAsia="vi-VN"/>
              </w:rPr>
              <w:br/>
              <w:t>tài sản quản lý ủy thác bình quân</w:t>
            </w:r>
          </w:p>
        </w:tc>
      </w:tr>
      <w:tr w:rsidR="00122775" w:rsidRPr="00122775" w14:paraId="47B5559E"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1519"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24C9A7"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Khối lượng</w:t>
            </w:r>
          </w:p>
        </w:tc>
        <w:tc>
          <w:tcPr>
            <w:tcW w:w="890"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58D146"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Giá trị</w:t>
            </w:r>
          </w:p>
        </w:tc>
        <w:tc>
          <w:tcPr>
            <w:tcW w:w="1539"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6160D1"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Khối lượng</w:t>
            </w:r>
          </w:p>
        </w:tc>
        <w:tc>
          <w:tcPr>
            <w:tcW w:w="1063"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C0B78"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Giá trị</w:t>
            </w:r>
          </w:p>
        </w:tc>
        <w:tc>
          <w:tcPr>
            <w:tcW w:w="1829"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E0B064"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Kỳ này</w:t>
            </w:r>
          </w:p>
        </w:tc>
        <w:tc>
          <w:tcPr>
            <w:tcW w:w="1881"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BD633"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Kỳ trước</w:t>
            </w:r>
          </w:p>
        </w:tc>
      </w:tr>
      <w:tr w:rsidR="00122775" w:rsidRPr="00122775" w14:paraId="395E1668"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1519"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A2683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lastRenderedPageBreak/>
              <w:t> </w:t>
            </w:r>
          </w:p>
        </w:tc>
        <w:tc>
          <w:tcPr>
            <w:tcW w:w="890"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85BDD4"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539"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D06DC4"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063"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0FECD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829"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FED35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881"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FFAB5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7C670E45"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1519"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98E64C7"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890"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BD0DB2"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539"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C3329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063"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799FC7"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829"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F3811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881"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AD1E1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bl>
    <w:p w14:paraId="189B71B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b/>
          <w:bCs/>
          <w:sz w:val="24"/>
          <w:szCs w:val="24"/>
          <w:lang w:val="vi-VN" w:eastAsia="vi-VN"/>
        </w:rPr>
        <w:t>III. Thông tin tổng hợp về các Hợp đồng quản lý đầu tư</w:t>
      </w:r>
    </w:p>
    <w:p w14:paraId="1E655A43" w14:textId="6074D309" w:rsidR="00122775" w:rsidRPr="00122775" w:rsidRDefault="00122775" w:rsidP="00122775">
      <w:pPr>
        <w:tabs>
          <w:tab w:val="center" w:leader="dot" w:pos="9720"/>
        </w:tabs>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xml:space="preserve">1. Tên khách hàng: </w:t>
      </w:r>
      <w:r>
        <w:rPr>
          <w:rFonts w:eastAsia="Times New Roman" w:cs="Times New Roman"/>
          <w:sz w:val="24"/>
          <w:szCs w:val="24"/>
          <w:lang w:val="vi-VN" w:eastAsia="vi-VN"/>
        </w:rPr>
        <w:tab/>
      </w:r>
    </w:p>
    <w:p w14:paraId="31447057" w14:textId="7CD0FCDF" w:rsidR="00122775" w:rsidRPr="00122775" w:rsidRDefault="00122775" w:rsidP="00122775">
      <w:pPr>
        <w:tabs>
          <w:tab w:val="center" w:leader="dot" w:pos="9720"/>
        </w:tabs>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xml:space="preserve">2. Mã số giao dịch chứng khoán (nếu có): </w:t>
      </w:r>
      <w:r>
        <w:rPr>
          <w:rFonts w:eastAsia="Times New Roman" w:cs="Times New Roman"/>
          <w:sz w:val="24"/>
          <w:szCs w:val="24"/>
          <w:lang w:val="vi-VN" w:eastAsia="vi-VN"/>
        </w:rPr>
        <w:tab/>
      </w:r>
    </w:p>
    <w:p w14:paraId="299695B2" w14:textId="7881F9D5" w:rsidR="00122775" w:rsidRPr="00122775" w:rsidRDefault="00122775" w:rsidP="00122775">
      <w:pPr>
        <w:tabs>
          <w:tab w:val="center" w:leader="dot" w:pos="9720"/>
        </w:tabs>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3. Tài khoản lưu ký:</w:t>
      </w:r>
      <w:r>
        <w:rPr>
          <w:rFonts w:eastAsia="Times New Roman" w:cs="Times New Roman"/>
          <w:sz w:val="24"/>
          <w:szCs w:val="24"/>
          <w:lang w:eastAsia="vi-VN"/>
        </w:rPr>
        <w:t xml:space="preserve"> </w:t>
      </w:r>
      <w:r>
        <w:rPr>
          <w:rFonts w:eastAsia="Times New Roman" w:cs="Times New Roman"/>
          <w:sz w:val="24"/>
          <w:szCs w:val="24"/>
          <w:lang w:val="vi-VN" w:eastAsia="vi-VN"/>
        </w:rPr>
        <w:tab/>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33"/>
        <w:gridCol w:w="2070"/>
        <w:gridCol w:w="915"/>
        <w:gridCol w:w="1594"/>
        <w:gridCol w:w="1594"/>
        <w:gridCol w:w="3023"/>
      </w:tblGrid>
      <w:tr w:rsidR="00122775" w:rsidRPr="00122775" w14:paraId="01A0B774" w14:textId="77777777" w:rsidTr="00122775">
        <w:trPr>
          <w:jc w:val="center"/>
        </w:trPr>
        <w:tc>
          <w:tcPr>
            <w:tcW w:w="48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8A36"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STT</w:t>
            </w:r>
          </w:p>
        </w:tc>
        <w:tc>
          <w:tcPr>
            <w:tcW w:w="188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7E41A"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Loại</w:t>
            </w:r>
          </w:p>
        </w:tc>
        <w:tc>
          <w:tcPr>
            <w:tcW w:w="83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692EA"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Số lượng</w:t>
            </w:r>
          </w:p>
        </w:tc>
        <w:tc>
          <w:tcPr>
            <w:tcW w:w="144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EC9D6"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Giá thị trường tại thời điểm báo cáo</w:t>
            </w:r>
          </w:p>
        </w:tc>
        <w:tc>
          <w:tcPr>
            <w:tcW w:w="144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04BD"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Tổng giá trị</w:t>
            </w:r>
          </w:p>
        </w:tc>
        <w:tc>
          <w:tcPr>
            <w:tcW w:w="274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C9302"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Tỷ lệ %/Tổng giá trị hiện tại của các danh mục đầu tư</w:t>
            </w:r>
          </w:p>
        </w:tc>
      </w:tr>
      <w:tr w:rsidR="00122775" w:rsidRPr="00122775" w14:paraId="579C480F"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AA9D35"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I</w:t>
            </w:r>
          </w:p>
        </w:tc>
        <w:tc>
          <w:tcPr>
            <w:tcW w:w="8355"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DB95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Cổ phiếu niêm yết</w:t>
            </w:r>
          </w:p>
        </w:tc>
      </w:tr>
      <w:tr w:rsidR="00122775" w:rsidRPr="00122775" w14:paraId="033D8179"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855CF0"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1</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B35D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D13A2"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6ECD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9D14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E2EF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5CBE4384"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9C9F19"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2</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07F5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2F83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A13C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4938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D6A2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2C46C286"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3107A2"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E7BD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0A99C"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7B7B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FAC7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91C7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7A5A554B"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A163B9"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II</w:t>
            </w:r>
          </w:p>
        </w:tc>
        <w:tc>
          <w:tcPr>
            <w:tcW w:w="8355"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B904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Cổ phiếu không niêm yết</w:t>
            </w:r>
          </w:p>
        </w:tc>
      </w:tr>
      <w:tr w:rsidR="00122775" w:rsidRPr="00122775" w14:paraId="4E220E8F"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872138"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1</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24EAA"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0AA3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E2339"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9FA2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D953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0231244E"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956AE7"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2</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2E96B"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1B55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6B40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5603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7F4A4"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5E736F5D"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4A66F4"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C755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E34CA"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C0D6A"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B61CA"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36AC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74CEADF9"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84294A"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III</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0C1F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Trái phiếu</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D0E0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FBCF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23AB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2205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627EB48F"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50E89"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1</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B78F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C2B04"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B146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A154B"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FDDDA"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549A314A"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E1ACEA"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2</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3541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EC4D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2199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C732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A429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01A8DD76"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61BCD3"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5B56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E217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5B5C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B894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F526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2CE345C5"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4B981"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IV</w:t>
            </w:r>
          </w:p>
        </w:tc>
        <w:tc>
          <w:tcPr>
            <w:tcW w:w="8355"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D683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Các loại chứng khoán khác</w:t>
            </w:r>
          </w:p>
        </w:tc>
      </w:tr>
      <w:tr w:rsidR="00122775" w:rsidRPr="00122775" w14:paraId="0FCE8DBC"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F856DB"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1</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8E38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E89D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9D87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30AC7"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1463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60089F7C"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20272A"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2</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B1CC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B995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6A567"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4317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B76C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72DF6A72"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DB472A"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5FE69"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DC80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0869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94AD2"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81FF9"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4A3DD661"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039333"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V</w:t>
            </w:r>
          </w:p>
        </w:tc>
        <w:tc>
          <w:tcPr>
            <w:tcW w:w="8355"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2C1B4"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Các tài sản khác</w:t>
            </w:r>
          </w:p>
        </w:tc>
      </w:tr>
      <w:tr w:rsidR="00122775" w:rsidRPr="00122775" w14:paraId="06C867D3"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56338C"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1</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45E0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7CFB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78607"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D9462"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2454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2DAFF888"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43B183"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2</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DE0B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24BBC"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025D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7977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9C60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3C87BA33"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DE441C"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7C3A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ADE6C"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3CAE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AAD97"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27F3A"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0B471FE9"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FF001B"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VI</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3F3E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Tiền</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00A67"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C016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FEE5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86D5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349558BA"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9FF2CE"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1</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2956B"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Tiền mặt</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ACF6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3C91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51D1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9D0A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535B4747"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799FCD"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2</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4593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TGNH</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F290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51B0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9B0B4"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CE432"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3D69CFDE"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CA44F5"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466DC"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AE98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CBCB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FF9C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DACC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312CA8AC"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584A5F"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VII</w:t>
            </w:r>
          </w:p>
        </w:tc>
        <w:tc>
          <w:tcPr>
            <w:tcW w:w="18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9E65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 giá trị của các danh mục đầu tư</w:t>
            </w:r>
          </w:p>
        </w:tc>
        <w:tc>
          <w:tcPr>
            <w:tcW w:w="8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78567"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5B7C7"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834C4"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D3D7C"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bl>
    <w:p w14:paraId="194F943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b/>
          <w:bCs/>
          <w:sz w:val="24"/>
          <w:szCs w:val="24"/>
          <w:lang w:val="vi-VN" w:eastAsia="vi-VN"/>
        </w:rPr>
        <w:t>IV. Thông tin tổng hợp về các hợp đồng quản lý đầu tư</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38"/>
        <w:gridCol w:w="2464"/>
        <w:gridCol w:w="1232"/>
        <w:gridCol w:w="1579"/>
        <w:gridCol w:w="3916"/>
      </w:tblGrid>
      <w:tr w:rsidR="00122775" w:rsidRPr="00122775" w14:paraId="1AC3BEF6" w14:textId="77777777" w:rsidTr="00122775">
        <w:trPr>
          <w:jc w:val="center"/>
        </w:trPr>
        <w:tc>
          <w:tcPr>
            <w:tcW w:w="48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6EC7C"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STT</w:t>
            </w:r>
          </w:p>
        </w:tc>
        <w:tc>
          <w:tcPr>
            <w:tcW w:w="222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B2258"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Loại</w:t>
            </w:r>
          </w:p>
        </w:tc>
        <w:tc>
          <w:tcPr>
            <w:tcW w:w="111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166E1"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Số lượng</w:t>
            </w:r>
          </w:p>
        </w:tc>
        <w:tc>
          <w:tcPr>
            <w:tcW w:w="14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4A891"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Tổng giá trị</w:t>
            </w:r>
          </w:p>
        </w:tc>
        <w:tc>
          <w:tcPr>
            <w:tcW w:w="353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3B2EA"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Tỷ lệ %/Tổng giá trị hiện tại của các danh mục đầu tư</w:t>
            </w:r>
          </w:p>
        </w:tc>
      </w:tr>
      <w:tr w:rsidR="00122775" w:rsidRPr="00122775" w14:paraId="2EF227AF"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8191E5"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I</w:t>
            </w:r>
          </w:p>
        </w:tc>
        <w:tc>
          <w:tcPr>
            <w:tcW w:w="8294"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6F6A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Cổ phiếu niêm yết</w:t>
            </w:r>
          </w:p>
        </w:tc>
      </w:tr>
      <w:tr w:rsidR="00122775" w:rsidRPr="00122775" w14:paraId="0BB32F92"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E94070"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1</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9D6B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DFB2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8B92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3ABD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0514BDBA"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34A1D1"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2</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0CE7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D17F9"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D918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41134"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30C60A45"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BF4724"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8D6E4"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8C61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525D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9AB1B"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11DA820E"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84BC47"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II</w:t>
            </w:r>
          </w:p>
        </w:tc>
        <w:tc>
          <w:tcPr>
            <w:tcW w:w="8294"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7C702"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Cổ phiếu không niêm yết</w:t>
            </w:r>
          </w:p>
        </w:tc>
      </w:tr>
      <w:tr w:rsidR="00122775" w:rsidRPr="00122775" w14:paraId="38981163"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BBFCE6"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1</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1C4AA"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2A80B"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5724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D13AA"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2DC21005"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DFD862"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2</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D042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4991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0FFC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291D9"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50517500"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ED4FA9"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5B09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401B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2D58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63BD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1884178B"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02640E"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III</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54BD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Trái phiếu</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C7B3B"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082B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4739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58D54B73"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87EA3E"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1</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20F9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CB6C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C9622"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865C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0043F607"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BC519F"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2</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4083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D174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3CA9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F4EF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0C628562"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421DCC"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DEED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1D3C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743C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0F1A0"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2095C4DD"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A3B6A0"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IV</w:t>
            </w:r>
          </w:p>
        </w:tc>
        <w:tc>
          <w:tcPr>
            <w:tcW w:w="8294"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1F08B"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Các loại chứng khoán khác</w:t>
            </w:r>
          </w:p>
        </w:tc>
      </w:tr>
      <w:tr w:rsidR="00122775" w:rsidRPr="00122775" w14:paraId="323D4A00"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AE06E3"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1</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AF99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53E5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5637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5168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6E59E1F5"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4CB47E"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2</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54574"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63A6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B2AEE"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AB83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1AFE945D"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3E550A"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11CC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AB8D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1FE2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0D7AC"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75E5D2C8"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8E7413"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V</w:t>
            </w:r>
          </w:p>
        </w:tc>
        <w:tc>
          <w:tcPr>
            <w:tcW w:w="8294"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7D0E5"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Các tài sản khác</w:t>
            </w:r>
          </w:p>
        </w:tc>
      </w:tr>
      <w:tr w:rsidR="00122775" w:rsidRPr="00122775" w14:paraId="51B3945C"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D42A96"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1</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26D92"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252E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3521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124F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1DFCCF90"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4F6097"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2</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9728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B474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A95BC"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F1B7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2794D046"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B3976A"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477A7"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F19B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A1F0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4329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155E543D"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06E0FA"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VI</w:t>
            </w:r>
          </w:p>
        </w:tc>
        <w:tc>
          <w:tcPr>
            <w:tcW w:w="8294"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19E9B"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Tiền</w:t>
            </w:r>
          </w:p>
        </w:tc>
      </w:tr>
      <w:tr w:rsidR="00122775" w:rsidRPr="00122775" w14:paraId="6732B9F7"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D256EA"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1</w:t>
            </w:r>
          </w:p>
          <w:p w14:paraId="465D3609"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2</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EC7B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Tiền mặt</w:t>
            </w:r>
          </w:p>
          <w:p w14:paraId="6371A102"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TGNH</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AB387"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61343"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DEDA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2E5762D5"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152F92"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EAAA9"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5FF3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BE6E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6C9C6"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r w:rsidR="00122775" w:rsidRPr="00122775" w14:paraId="25449329" w14:textId="77777777" w:rsidTr="00122775">
        <w:tblPrEx>
          <w:tblBorders>
            <w:top w:val="none" w:sz="0" w:space="0" w:color="auto"/>
            <w:bottom w:val="none" w:sz="0" w:space="0" w:color="auto"/>
            <w:insideH w:val="none" w:sz="0" w:space="0" w:color="auto"/>
            <w:insideV w:val="none" w:sz="0" w:space="0" w:color="auto"/>
          </w:tblBorders>
        </w:tblPrEx>
        <w:trPr>
          <w:jc w:val="center"/>
        </w:trPr>
        <w:tc>
          <w:tcPr>
            <w:tcW w:w="4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775E2B"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sz w:val="24"/>
                <w:szCs w:val="24"/>
                <w:lang w:val="vi-VN" w:eastAsia="vi-VN"/>
              </w:rPr>
              <w:t>VII</w:t>
            </w:r>
          </w:p>
        </w:tc>
        <w:tc>
          <w:tcPr>
            <w:tcW w:w="22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47AD4"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Tổng giá trị của các danh mục đầu tư</w:t>
            </w:r>
          </w:p>
        </w:tc>
        <w:tc>
          <w:tcPr>
            <w:tcW w:w="1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8DD5F"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14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174DC"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c>
          <w:tcPr>
            <w:tcW w:w="35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CCC41"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c>
      </w:tr>
    </w:tbl>
    <w:p w14:paraId="52CE528D"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874"/>
        <w:gridCol w:w="4875"/>
      </w:tblGrid>
      <w:tr w:rsidR="00122775" w:rsidRPr="00122775" w14:paraId="1153E45E" w14:textId="77777777" w:rsidTr="00122775">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41D013"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 xml:space="preserve">Đại diện có thẩm quyền </w:t>
            </w:r>
            <w:r w:rsidRPr="00122775">
              <w:rPr>
                <w:rFonts w:eastAsia="Times New Roman" w:cs="Times New Roman"/>
                <w:b/>
                <w:bCs/>
                <w:sz w:val="24"/>
                <w:szCs w:val="24"/>
                <w:lang w:val="vi-VN" w:eastAsia="vi-VN"/>
              </w:rPr>
              <w:br/>
              <w:t>của Ngân hàng lưu ký</w:t>
            </w:r>
            <w:r w:rsidRPr="00122775">
              <w:rPr>
                <w:rFonts w:eastAsia="Times New Roman" w:cs="Times New Roman"/>
                <w:b/>
                <w:bCs/>
                <w:sz w:val="24"/>
                <w:szCs w:val="24"/>
                <w:lang w:val="vi-VN" w:eastAsia="vi-VN"/>
              </w:rPr>
              <w:br/>
            </w:r>
            <w:r w:rsidRPr="00122775">
              <w:rPr>
                <w:rFonts w:eastAsia="Times New Roman" w:cs="Times New Roman"/>
                <w:i/>
                <w:iCs/>
                <w:sz w:val="24"/>
                <w:szCs w:val="24"/>
                <w:lang w:val="vi-VN" w:eastAsia="vi-VN"/>
              </w:rPr>
              <w:t>(Ký, ghi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D8557A" w14:textId="77777777" w:rsidR="00122775" w:rsidRPr="00122775" w:rsidRDefault="00122775" w:rsidP="00122775">
            <w:pPr>
              <w:spacing w:before="120" w:after="120" w:line="240" w:lineRule="auto"/>
              <w:jc w:val="center"/>
              <w:rPr>
                <w:rFonts w:eastAsia="Times New Roman" w:cs="Times New Roman"/>
                <w:sz w:val="24"/>
                <w:szCs w:val="24"/>
                <w:lang w:val="vi-VN" w:eastAsia="vi-VN"/>
              </w:rPr>
            </w:pPr>
            <w:r w:rsidRPr="00122775">
              <w:rPr>
                <w:rFonts w:eastAsia="Times New Roman" w:cs="Times New Roman"/>
                <w:b/>
                <w:bCs/>
                <w:sz w:val="24"/>
                <w:szCs w:val="24"/>
                <w:lang w:val="vi-VN" w:eastAsia="vi-VN"/>
              </w:rPr>
              <w:t xml:space="preserve">Giám đốc chi nhánh công ty quản lý </w:t>
            </w:r>
            <w:r w:rsidRPr="00122775">
              <w:rPr>
                <w:rFonts w:eastAsia="Times New Roman" w:cs="Times New Roman"/>
                <w:b/>
                <w:bCs/>
                <w:sz w:val="24"/>
                <w:szCs w:val="24"/>
                <w:lang w:val="vi-VN" w:eastAsia="vi-VN"/>
              </w:rPr>
              <w:br/>
              <w:t>quỹ nước ngoài</w:t>
            </w:r>
            <w:r w:rsidRPr="00122775">
              <w:rPr>
                <w:rFonts w:eastAsia="Times New Roman" w:cs="Times New Roman"/>
                <w:b/>
                <w:bCs/>
                <w:sz w:val="24"/>
                <w:szCs w:val="24"/>
                <w:lang w:val="vi-VN" w:eastAsia="vi-VN"/>
              </w:rPr>
              <w:br/>
            </w:r>
            <w:r w:rsidRPr="00122775">
              <w:rPr>
                <w:rFonts w:eastAsia="Times New Roman" w:cs="Times New Roman"/>
                <w:i/>
                <w:iCs/>
                <w:sz w:val="24"/>
                <w:szCs w:val="24"/>
                <w:lang w:val="vi-VN" w:eastAsia="vi-VN"/>
              </w:rPr>
              <w:t>(Ký, ghi rõ họ tên và đóng dấu)</w:t>
            </w:r>
          </w:p>
        </w:tc>
      </w:tr>
    </w:tbl>
    <w:p w14:paraId="5A6CA2B8" w14:textId="77777777" w:rsidR="00122775" w:rsidRPr="00122775" w:rsidRDefault="00122775" w:rsidP="00122775">
      <w:pPr>
        <w:spacing w:before="120" w:after="120" w:line="240" w:lineRule="auto"/>
        <w:rPr>
          <w:rFonts w:eastAsia="Times New Roman" w:cs="Times New Roman"/>
          <w:sz w:val="24"/>
          <w:szCs w:val="24"/>
          <w:lang w:val="vi-VN" w:eastAsia="vi-VN"/>
        </w:rPr>
      </w:pPr>
      <w:r w:rsidRPr="00122775">
        <w:rPr>
          <w:rFonts w:eastAsia="Times New Roman" w:cs="Times New Roman"/>
          <w:sz w:val="24"/>
          <w:szCs w:val="24"/>
          <w:lang w:val="vi-VN" w:eastAsia="vi-VN"/>
        </w:rPr>
        <w:t> </w:t>
      </w:r>
    </w:p>
    <w:p w14:paraId="1AE99387" w14:textId="77777777" w:rsidR="00427EB3" w:rsidRPr="00122775" w:rsidRDefault="00427EB3" w:rsidP="00122775">
      <w:pPr>
        <w:spacing w:before="120" w:after="120" w:line="240" w:lineRule="auto"/>
        <w:rPr>
          <w:rFonts w:cs="Times New Roman"/>
          <w:sz w:val="24"/>
          <w:szCs w:val="24"/>
          <w:lang w:val="vi-VN"/>
        </w:rPr>
      </w:pPr>
    </w:p>
    <w:sectPr w:rsidR="00427EB3" w:rsidRPr="00122775" w:rsidSect="00BA7410">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52C00" w14:textId="77777777" w:rsidR="00243A42" w:rsidRDefault="00243A42" w:rsidP="004703B8">
      <w:pPr>
        <w:spacing w:after="0" w:line="240" w:lineRule="auto"/>
      </w:pPr>
      <w:r>
        <w:separator/>
      </w:r>
    </w:p>
  </w:endnote>
  <w:endnote w:type="continuationSeparator" w:id="0">
    <w:p w14:paraId="3A7534FA" w14:textId="77777777" w:rsidR="00243A42" w:rsidRDefault="00243A42"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BD61" w14:textId="77777777" w:rsidR="00080B48" w:rsidRDefault="00080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A516" w14:textId="5AF69B4D" w:rsidR="004703B8" w:rsidRPr="00080B48" w:rsidRDefault="004703B8" w:rsidP="00080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61B5" w14:textId="77777777" w:rsidR="00080B48" w:rsidRDefault="00080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71D8B" w14:textId="77777777" w:rsidR="00243A42" w:rsidRDefault="00243A42" w:rsidP="004703B8">
      <w:pPr>
        <w:spacing w:after="0" w:line="240" w:lineRule="auto"/>
      </w:pPr>
      <w:r>
        <w:separator/>
      </w:r>
    </w:p>
  </w:footnote>
  <w:footnote w:type="continuationSeparator" w:id="0">
    <w:p w14:paraId="11293CDA" w14:textId="77777777" w:rsidR="00243A42" w:rsidRDefault="00243A42"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4BCA" w14:textId="77777777" w:rsidR="00080B48" w:rsidRDefault="00080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5E3F" w14:textId="77777777" w:rsidR="00080B48" w:rsidRPr="00080B48" w:rsidRDefault="00080B48" w:rsidP="00080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10F2" w14:textId="77777777" w:rsidR="00080B48" w:rsidRDefault="00080B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4CE0"/>
    <w:rsid w:val="00014387"/>
    <w:rsid w:val="0001710E"/>
    <w:rsid w:val="0005341B"/>
    <w:rsid w:val="0006315C"/>
    <w:rsid w:val="00080B48"/>
    <w:rsid w:val="000A6C17"/>
    <w:rsid w:val="00122775"/>
    <w:rsid w:val="00144416"/>
    <w:rsid w:val="0014490C"/>
    <w:rsid w:val="001613E3"/>
    <w:rsid w:val="00243A42"/>
    <w:rsid w:val="00263788"/>
    <w:rsid w:val="00267AFA"/>
    <w:rsid w:val="0029253A"/>
    <w:rsid w:val="002962ED"/>
    <w:rsid w:val="002B7CF9"/>
    <w:rsid w:val="003A4223"/>
    <w:rsid w:val="003A5A48"/>
    <w:rsid w:val="003D3564"/>
    <w:rsid w:val="003F3152"/>
    <w:rsid w:val="004176BD"/>
    <w:rsid w:val="00427EB3"/>
    <w:rsid w:val="004463CA"/>
    <w:rsid w:val="004703B8"/>
    <w:rsid w:val="0047155C"/>
    <w:rsid w:val="0053438B"/>
    <w:rsid w:val="005D2398"/>
    <w:rsid w:val="005E792B"/>
    <w:rsid w:val="00613FB5"/>
    <w:rsid w:val="00621D0D"/>
    <w:rsid w:val="00654905"/>
    <w:rsid w:val="00686BDF"/>
    <w:rsid w:val="006C43E5"/>
    <w:rsid w:val="00720AFE"/>
    <w:rsid w:val="0072111F"/>
    <w:rsid w:val="007404AB"/>
    <w:rsid w:val="00763D58"/>
    <w:rsid w:val="0076492A"/>
    <w:rsid w:val="007914EE"/>
    <w:rsid w:val="007A70D3"/>
    <w:rsid w:val="007B7BCD"/>
    <w:rsid w:val="0085037C"/>
    <w:rsid w:val="00860699"/>
    <w:rsid w:val="008C0714"/>
    <w:rsid w:val="008F3CA3"/>
    <w:rsid w:val="00917DA2"/>
    <w:rsid w:val="0096432D"/>
    <w:rsid w:val="00987746"/>
    <w:rsid w:val="009D25DA"/>
    <w:rsid w:val="00A02A7D"/>
    <w:rsid w:val="00A2210D"/>
    <w:rsid w:val="00A60215"/>
    <w:rsid w:val="00A66B2B"/>
    <w:rsid w:val="00A977CA"/>
    <w:rsid w:val="00AB5227"/>
    <w:rsid w:val="00AC1BC5"/>
    <w:rsid w:val="00AE30F9"/>
    <w:rsid w:val="00B26EEE"/>
    <w:rsid w:val="00B55A89"/>
    <w:rsid w:val="00B77CBC"/>
    <w:rsid w:val="00B84B1A"/>
    <w:rsid w:val="00BA7410"/>
    <w:rsid w:val="00BB7F82"/>
    <w:rsid w:val="00C00DA0"/>
    <w:rsid w:val="00CE0828"/>
    <w:rsid w:val="00D26073"/>
    <w:rsid w:val="00D45B8E"/>
    <w:rsid w:val="00D569AD"/>
    <w:rsid w:val="00E03F53"/>
    <w:rsid w:val="00E301AB"/>
    <w:rsid w:val="00E62161"/>
    <w:rsid w:val="00ED4E8A"/>
    <w:rsid w:val="00EE00CE"/>
    <w:rsid w:val="00F02271"/>
    <w:rsid w:val="00F24C78"/>
    <w:rsid w:val="00FB397B"/>
    <w:rsid w:val="00FE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9CE3"/>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FootnoteText">
    <w:name w:val="footnote text"/>
    <w:aliases w:val="foot"/>
    <w:basedOn w:val="Normal"/>
    <w:link w:val="FootnoteTextChar"/>
    <w:rsid w:val="00BA7410"/>
    <w:pPr>
      <w:spacing w:after="0" w:line="240" w:lineRule="auto"/>
    </w:pPr>
    <w:rPr>
      <w:rFonts w:eastAsia="Times New Roman" w:cs="Times New Roman"/>
      <w:sz w:val="20"/>
      <w:szCs w:val="20"/>
    </w:rPr>
  </w:style>
  <w:style w:type="character" w:customStyle="1" w:styleId="FootnoteTextChar">
    <w:name w:val="Footnote Text Char"/>
    <w:aliases w:val="foot Char"/>
    <w:basedOn w:val="DefaultParagraphFont"/>
    <w:link w:val="FootnoteText"/>
    <w:rsid w:val="00BA7410"/>
    <w:rPr>
      <w:rFonts w:eastAsia="Times New Roman" w:cs="Times New Roman"/>
      <w:sz w:val="20"/>
      <w:szCs w:val="20"/>
    </w:rPr>
  </w:style>
  <w:style w:type="character" w:styleId="FootnoteReference">
    <w:name w:val="footnote reference"/>
    <w:rsid w:val="00BA7410"/>
    <w:rPr>
      <w:vertAlign w:val="superscript"/>
    </w:rPr>
  </w:style>
  <w:style w:type="paragraph" w:styleId="BodyText">
    <w:name w:val="Body Text"/>
    <w:basedOn w:val="Normal"/>
    <w:link w:val="BodyTextChar"/>
    <w:rsid w:val="00BA7410"/>
    <w:pPr>
      <w:spacing w:after="120" w:line="240" w:lineRule="auto"/>
    </w:pPr>
    <w:rPr>
      <w:rFonts w:eastAsia="Times New Roman" w:cs="Times New Roman"/>
      <w:sz w:val="24"/>
      <w:szCs w:val="24"/>
      <w:lang w:val="x-none" w:eastAsia="x-none"/>
    </w:rPr>
  </w:style>
  <w:style w:type="character" w:customStyle="1" w:styleId="BodyTextChar">
    <w:name w:val="Body Text Char"/>
    <w:basedOn w:val="DefaultParagraphFont"/>
    <w:link w:val="BodyText"/>
    <w:rsid w:val="00BA7410"/>
    <w:rPr>
      <w:rFonts w:eastAsia="Times New Roman" w:cs="Times New Roman"/>
      <w:sz w:val="24"/>
      <w:szCs w:val="24"/>
      <w:lang w:val="x-none" w:eastAsia="x-none"/>
    </w:rPr>
  </w:style>
  <w:style w:type="table" w:styleId="TableGrid">
    <w:name w:val="Table Grid"/>
    <w:basedOn w:val="TableNormal"/>
    <w:uiPriority w:val="59"/>
    <w:rsid w:val="00BA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2021-12-21T04:45:00Z</dcterms:created>
  <dcterms:modified xsi:type="dcterms:W3CDTF">2022-09-12T10:01:00Z</dcterms:modified>
</cp:coreProperties>
</file>