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7DEBAD0D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828EA" w14:textId="77777777" w:rsidR="00000000" w:rsidRDefault="00000000">
            <w:pPr>
              <w:jc w:val="center"/>
            </w:pPr>
            <w:r>
              <w:rPr>
                <w:b/>
                <w:bCs/>
                <w:lang w:val="vi-VN"/>
              </w:rPr>
              <w:t>ỦY BAN THƯỜNG VỤ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QUỐC HỘI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90BF" w14:textId="77777777" w:rsidR="00000000" w:rsidRDefault="00000000">
            <w:pPr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3BBB6D3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B85E" w14:textId="77777777" w:rsidR="00000000" w:rsidRDefault="00000000">
            <w:pPr>
              <w:jc w:val="center"/>
            </w:pPr>
            <w:r>
              <w:rPr>
                <w:lang w:val="vi-VN"/>
              </w:rPr>
              <w:t>Nghị quy</w:t>
            </w:r>
            <w:r>
              <w:t xml:space="preserve">ết </w:t>
            </w:r>
            <w:r>
              <w:rPr>
                <w:lang w:val="vi-VN"/>
              </w:rPr>
              <w:t>số: 30/2022/UBTVQ</w:t>
            </w:r>
            <w:r>
              <w:t>H</w:t>
            </w:r>
            <w:r>
              <w:rPr>
                <w:lang w:val="vi-VN"/>
              </w:rPr>
              <w:t>15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D6AD" w14:textId="77777777" w:rsidR="00000000" w:rsidRDefault="00000000">
            <w:pPr>
              <w:jc w:val="right"/>
            </w:pPr>
            <w:r>
              <w:rPr>
                <w:i/>
                <w:iCs/>
              </w:rPr>
              <w:t xml:space="preserve">Hà Nội, </w:t>
            </w:r>
            <w:r>
              <w:rPr>
                <w:i/>
                <w:iCs/>
                <w:lang w:val="vi-VN"/>
              </w:rPr>
              <w:t>ngày 30 tháng 12 năm 2022</w:t>
            </w:r>
          </w:p>
        </w:tc>
      </w:tr>
    </w:tbl>
    <w:p w14:paraId="205A6E17" w14:textId="77777777" w:rsidR="00000000" w:rsidRDefault="00000000">
      <w:pPr>
        <w:spacing w:before="120" w:after="280" w:afterAutospacing="1"/>
      </w:pPr>
      <w:r>
        <w:t> </w:t>
      </w:r>
    </w:p>
    <w:p w14:paraId="483E3349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NGHỊ QUYẾT</w:t>
      </w:r>
    </w:p>
    <w:p w14:paraId="15424393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VỀ MỨC THUẾ BẢO VỆ MÔI TRƯỜNG ĐỐI VỚI XĂNG, DẦU, MỠ NHỜN</w:t>
      </w:r>
    </w:p>
    <w:p w14:paraId="2A271FE4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THƯỜNG VỤ QUỐC HỘI</w:t>
      </w:r>
    </w:p>
    <w:p w14:paraId="39FF3E3A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Hiến pháp </w:t>
      </w:r>
      <w:r>
        <w:rPr>
          <w:i/>
          <w:iCs/>
        </w:rPr>
        <w:t xml:space="preserve">nước </w:t>
      </w:r>
      <w:r>
        <w:rPr>
          <w:i/>
          <w:iCs/>
          <w:lang w:val="vi-VN"/>
        </w:rPr>
        <w:t>Cộng hòa xã hội chủ ngh</w:t>
      </w:r>
      <w:r>
        <w:rPr>
          <w:i/>
          <w:iCs/>
        </w:rPr>
        <w:t>ĩ</w:t>
      </w:r>
      <w:r>
        <w:rPr>
          <w:i/>
          <w:iCs/>
          <w:lang w:val="vi-VN"/>
        </w:rPr>
        <w:t>a Việt Nam;</w:t>
      </w:r>
    </w:p>
    <w:p w14:paraId="10030D1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Quốc hội số 57/2014/QH13 đ</w:t>
      </w:r>
      <w:r>
        <w:rPr>
          <w:i/>
          <w:iCs/>
        </w:rPr>
        <w:t xml:space="preserve">ã được sửa đổi, </w:t>
      </w:r>
      <w:r>
        <w:rPr>
          <w:i/>
          <w:iCs/>
          <w:lang w:val="vi-VN"/>
        </w:rPr>
        <w:t>bổ sung một số đi</w:t>
      </w:r>
      <w:r>
        <w:rPr>
          <w:i/>
          <w:iCs/>
        </w:rPr>
        <w:t>ề</w:t>
      </w:r>
      <w:r>
        <w:rPr>
          <w:i/>
          <w:iCs/>
          <w:lang w:val="vi-VN"/>
        </w:rPr>
        <w:t>u theo Luật số 65/2020/QH</w:t>
      </w:r>
      <w:r>
        <w:rPr>
          <w:i/>
          <w:iCs/>
        </w:rPr>
        <w:t>1</w:t>
      </w:r>
      <w:r>
        <w:rPr>
          <w:i/>
          <w:iCs/>
          <w:lang w:val="vi-VN"/>
        </w:rPr>
        <w:t>4;</w:t>
      </w:r>
    </w:p>
    <w:p w14:paraId="6019F2E9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</w:t>
      </w:r>
      <w:r>
        <w:rPr>
          <w:i/>
          <w:iCs/>
        </w:rPr>
        <w:t xml:space="preserve">ứ </w:t>
      </w:r>
      <w:r>
        <w:rPr>
          <w:i/>
          <w:iCs/>
          <w:lang w:val="vi-VN"/>
        </w:rPr>
        <w:t>Luật Thuế bảo vệ môi trường số 57/2010/Q</w:t>
      </w:r>
      <w:r>
        <w:rPr>
          <w:i/>
          <w:iCs/>
        </w:rPr>
        <w:t>H</w:t>
      </w:r>
      <w:r>
        <w:rPr>
          <w:i/>
          <w:iCs/>
          <w:lang w:val="vi-VN"/>
        </w:rPr>
        <w:t>12;</w:t>
      </w:r>
    </w:p>
    <w:p w14:paraId="5E88C064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NGHỊ:</w:t>
      </w:r>
    </w:p>
    <w:p w14:paraId="3F499DCF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 xml:space="preserve">Điều </w:t>
      </w:r>
      <w:r>
        <w:rPr>
          <w:b/>
          <w:bCs/>
        </w:rPr>
        <w:t>1</w:t>
      </w:r>
      <w:r>
        <w:rPr>
          <w:b/>
          <w:bCs/>
          <w:lang w:val="vi-VN"/>
        </w:rPr>
        <w:t>. Mức thuế b</w:t>
      </w:r>
      <w:r>
        <w:rPr>
          <w:b/>
          <w:bCs/>
        </w:rPr>
        <w:t>ả</w:t>
      </w:r>
      <w:r>
        <w:rPr>
          <w:b/>
          <w:bCs/>
          <w:lang w:val="vi-VN"/>
        </w:rPr>
        <w:t>o vệ môi trường đối với xăng, dầu, mở nhờn</w:t>
      </w:r>
    </w:p>
    <w:p w14:paraId="0637F41B" w14:textId="77777777" w:rsidR="00000000" w:rsidRDefault="00000000">
      <w:pPr>
        <w:spacing w:before="120" w:after="280" w:afterAutospacing="1"/>
      </w:pPr>
      <w:r>
        <w:rPr>
          <w:lang w:val="vi-VN"/>
        </w:rPr>
        <w:t>1. Mức thuế bảo vệ môi trường đối với x</w:t>
      </w:r>
      <w:r>
        <w:t>ă</w:t>
      </w:r>
      <w:r>
        <w:rPr>
          <w:lang w:val="vi-VN"/>
        </w:rPr>
        <w:t>ng, dầu, m</w:t>
      </w:r>
      <w:r>
        <w:t xml:space="preserve">ỡ </w:t>
      </w:r>
      <w:r>
        <w:rPr>
          <w:lang w:val="vi-VN"/>
        </w:rPr>
        <w:t>nhòm từ ngày Nghị quyết này có hiệu lực thi hành đ</w:t>
      </w:r>
      <w:r>
        <w:t>ế</w:t>
      </w:r>
      <w:r>
        <w:rPr>
          <w:lang w:val="vi-VN"/>
        </w:rPr>
        <w:t>n hết ngày 31 tháng 12 n</w:t>
      </w:r>
      <w:r>
        <w:t>ă</w:t>
      </w:r>
      <w:r>
        <w:rPr>
          <w:lang w:val="vi-VN"/>
        </w:rPr>
        <w:t xml:space="preserve">m 2023 </w:t>
      </w:r>
      <w:r>
        <w:t>đ</w:t>
      </w:r>
      <w:r>
        <w:rPr>
          <w:lang w:val="vi-VN"/>
        </w:rPr>
        <w:t xml:space="preserve">ược quy định như sau: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3378"/>
        <w:gridCol w:w="1126"/>
        <w:gridCol w:w="3874"/>
      </w:tblGrid>
      <w:tr w:rsidR="00000000" w14:paraId="210FAA18" w14:textId="77777777"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9C647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C7B72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Hàng hóa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C9047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vị tính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BC3745" w14:textId="77777777" w:rsidR="00000000" w:rsidRDefault="00000000">
            <w:pPr>
              <w:spacing w:before="120" w:after="280" w:afterAutospacing="1"/>
              <w:jc w:val="center"/>
            </w:pPr>
            <w:r>
              <w:rPr>
                <w:b/>
                <w:bCs/>
                <w:lang w:val="vi-VN"/>
              </w:rPr>
              <w:t xml:space="preserve">Mức thuế </w:t>
            </w:r>
          </w:p>
          <w:p w14:paraId="76A1323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(</w:t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  <w:lang w:val="vi-VN"/>
              </w:rPr>
              <w:t>ồng/đơn vị hàng hóa)</w:t>
            </w:r>
          </w:p>
        </w:tc>
      </w:tr>
      <w:tr w:rsidR="00000000" w14:paraId="3162616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FD0C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E867E8" w14:textId="77777777" w:rsidR="00000000" w:rsidRDefault="00000000">
            <w:pPr>
              <w:spacing w:before="120"/>
            </w:pPr>
            <w:r>
              <w:rPr>
                <w:lang w:val="vi-VN"/>
              </w:rPr>
              <w:t>Xăng, trừ etano</w:t>
            </w:r>
            <w:r>
              <w:t>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E6FE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lít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AC4F14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2.000</w:t>
            </w:r>
          </w:p>
        </w:tc>
      </w:tr>
      <w:tr w:rsidR="00000000" w14:paraId="5624855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3F433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01B765" w14:textId="77777777" w:rsidR="00000000" w:rsidRDefault="00000000">
            <w:pPr>
              <w:spacing w:before="120"/>
            </w:pPr>
            <w:r>
              <w:rPr>
                <w:lang w:val="vi-VN"/>
              </w:rPr>
              <w:t>Nhiên liệu bay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E57C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lít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E80569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1.000</w:t>
            </w:r>
          </w:p>
        </w:tc>
      </w:tr>
      <w:tr w:rsidR="00000000" w14:paraId="5DC0356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1BCE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DAFA74" w14:textId="77777777" w:rsidR="00000000" w:rsidRDefault="00000000">
            <w:pPr>
              <w:spacing w:before="120"/>
            </w:pPr>
            <w:r>
              <w:rPr>
                <w:lang w:val="vi-VN"/>
              </w:rPr>
              <w:t>Dầu diese</w:t>
            </w:r>
            <w:r>
              <w:t>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C700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lít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707EE1" w14:textId="77777777" w:rsidR="00000000" w:rsidRDefault="00000000">
            <w:pPr>
              <w:spacing w:before="120"/>
              <w:jc w:val="right"/>
            </w:pPr>
            <w:r>
              <w:t>1.000</w:t>
            </w:r>
          </w:p>
        </w:tc>
      </w:tr>
      <w:tr w:rsidR="00000000" w14:paraId="0D2E8BB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CDD56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80F5EF" w14:textId="77777777" w:rsidR="00000000" w:rsidRDefault="00000000">
            <w:pPr>
              <w:spacing w:before="120"/>
            </w:pPr>
            <w:r>
              <w:rPr>
                <w:lang w:val="vi-VN"/>
              </w:rPr>
              <w:t>Dầu hỏa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67B50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lít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98BA43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600</w:t>
            </w:r>
          </w:p>
        </w:tc>
      </w:tr>
      <w:tr w:rsidR="00000000" w14:paraId="5C1227B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B18F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D2039D" w14:textId="77777777" w:rsidR="00000000" w:rsidRDefault="00000000">
            <w:pPr>
              <w:spacing w:before="120"/>
            </w:pPr>
            <w:r>
              <w:rPr>
                <w:lang w:val="vi-VN"/>
              </w:rPr>
              <w:t>Dầu mazut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E164B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lít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E0BF28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1.000</w:t>
            </w:r>
          </w:p>
        </w:tc>
      </w:tr>
      <w:tr w:rsidR="00000000" w14:paraId="5EC0367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8B5F1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CAEE1C" w14:textId="77777777" w:rsidR="00000000" w:rsidRDefault="00000000">
            <w:pPr>
              <w:spacing w:before="120"/>
            </w:pPr>
            <w:r>
              <w:rPr>
                <w:lang w:val="vi-VN"/>
              </w:rPr>
              <w:t>Dầu nhờn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1D87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lít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DD9594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1.000</w:t>
            </w:r>
          </w:p>
        </w:tc>
      </w:tr>
      <w:tr w:rsidR="00000000" w14:paraId="7953BA3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F65C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366359" w14:textId="77777777" w:rsidR="00000000" w:rsidRDefault="00000000">
            <w:pPr>
              <w:spacing w:before="120"/>
            </w:pPr>
            <w:r>
              <w:rPr>
                <w:lang w:val="vi-VN"/>
              </w:rPr>
              <w:t>M</w:t>
            </w:r>
            <w:r>
              <w:t xml:space="preserve">ỡ </w:t>
            </w:r>
            <w:r>
              <w:rPr>
                <w:lang w:val="vi-VN"/>
              </w:rPr>
              <w:t>nhờn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8E1423" w14:textId="77777777" w:rsidR="00000000" w:rsidRDefault="00000000">
            <w:pPr>
              <w:spacing w:before="120"/>
              <w:jc w:val="center"/>
            </w:pPr>
            <w:r>
              <w:t>k</w:t>
            </w:r>
            <w:r>
              <w:rPr>
                <w:lang w:val="vi-VN"/>
              </w:rPr>
              <w:t>g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A77580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1.000</w:t>
            </w:r>
          </w:p>
        </w:tc>
      </w:tr>
    </w:tbl>
    <w:p w14:paraId="1C1ACC09" w14:textId="77777777" w:rsidR="00000000" w:rsidRDefault="00000000">
      <w:pPr>
        <w:spacing w:before="120" w:after="280" w:afterAutospacing="1"/>
      </w:pPr>
      <w:r>
        <w:rPr>
          <w:lang w:val="vi-VN"/>
        </w:rPr>
        <w:t>2. Mức thuế bảo vệ môi trường đối với xăng, dầu, m</w:t>
      </w:r>
      <w:r>
        <w:t>ỡ</w:t>
      </w:r>
      <w:r>
        <w:rPr>
          <w:lang w:val="vi-VN"/>
        </w:rPr>
        <w:t xml:space="preserve"> nh</w:t>
      </w:r>
      <w:r>
        <w:t>ờ</w:t>
      </w:r>
      <w:r>
        <w:rPr>
          <w:lang w:val="vi-VN"/>
        </w:rPr>
        <w:t>n từ ngày 01 tháng 01 năm 2024 được thực hiện theo quy định tại Mục I khoản 1 Điều 1 của Nghị quyết số 579/2018/</w:t>
      </w:r>
      <w:r>
        <w:t>U</w:t>
      </w:r>
      <w:r>
        <w:rPr>
          <w:lang w:val="vi-VN"/>
        </w:rPr>
        <w:t>BTVQH14 ngày 26 tháng 9 năm 2018 của Ủy ban Thường vụ Quốc hội về Bi</w:t>
      </w:r>
      <w:r>
        <w:t>ể</w:t>
      </w:r>
      <w:r>
        <w:rPr>
          <w:lang w:val="vi-VN"/>
        </w:rPr>
        <w:t>u thuế bảo vệ môi Irường.</w:t>
      </w:r>
    </w:p>
    <w:p w14:paraId="4B122DD7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lastRenderedPageBreak/>
        <w:t>Điều 2. Điều kho</w:t>
      </w:r>
      <w:r>
        <w:rPr>
          <w:b/>
          <w:bCs/>
        </w:rPr>
        <w:t>ả</w:t>
      </w:r>
      <w:r>
        <w:rPr>
          <w:b/>
          <w:bCs/>
          <w:lang w:val="vi-VN"/>
        </w:rPr>
        <w:t>n thi hành</w:t>
      </w:r>
    </w:p>
    <w:p w14:paraId="13757044" w14:textId="77777777" w:rsidR="00000000" w:rsidRDefault="00000000">
      <w:pPr>
        <w:spacing w:before="120" w:after="280" w:afterAutospacing="1"/>
      </w:pPr>
      <w:r>
        <w:rPr>
          <w:lang w:val="vi-VN"/>
        </w:rPr>
        <w:t>1. Nghị quyết này có hiệu lực thi hành từ ngày 01 tháng 01 năm 2023.</w:t>
      </w:r>
    </w:p>
    <w:p w14:paraId="1B60AE68" w14:textId="77777777" w:rsidR="00000000" w:rsidRDefault="00000000">
      <w:pPr>
        <w:spacing w:before="120" w:after="280" w:afterAutospacing="1"/>
      </w:pPr>
      <w:r>
        <w:rPr>
          <w:lang w:val="vi-VN"/>
        </w:rPr>
        <w:t>2. Nghị quyết số 20/2022/</w:t>
      </w:r>
      <w:r>
        <w:t>U</w:t>
      </w:r>
      <w:r>
        <w:rPr>
          <w:lang w:val="vi-VN"/>
        </w:rPr>
        <w:t>BTVQH15 ngày 06 tháng 7 năm 2022 của Ủy ban Thường vụ Quốc hội hết hiệu lực k</w:t>
      </w:r>
      <w:r>
        <w:t xml:space="preserve">ể </w:t>
      </w:r>
      <w:r>
        <w:rPr>
          <w:lang w:val="vi-VN"/>
        </w:rPr>
        <w:t>từ ngày Nghị quyết này có hiệu lực thi hành.</w:t>
      </w:r>
    </w:p>
    <w:p w14:paraId="670F8D1E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3. Không áp dụng mức thuế bảo vệ môi trường </w:t>
      </w:r>
      <w:r>
        <w:t>đ</w:t>
      </w:r>
      <w:r>
        <w:rPr>
          <w:lang w:val="vi-VN"/>
        </w:rPr>
        <w:t>ối với xăng, dầu, m</w:t>
      </w:r>
      <w:r>
        <w:t xml:space="preserve">ỡ </w:t>
      </w:r>
      <w:r>
        <w:rPr>
          <w:lang w:val="vi-VN"/>
        </w:rPr>
        <w:t>nhờn quy định tại Mục I khoản 1 Điều 1 của Nghị quyết s</w:t>
      </w:r>
      <w:r>
        <w:t>ố</w:t>
      </w:r>
      <w:r>
        <w:rPr>
          <w:lang w:val="vi-VN"/>
        </w:rPr>
        <w:t xml:space="preserve"> 579/2018/</w:t>
      </w:r>
      <w:r>
        <w:t>U</w:t>
      </w:r>
      <w:r>
        <w:rPr>
          <w:lang w:val="vi-VN"/>
        </w:rPr>
        <w:t>BTVQH14 ngày 26 tháng 9 năm 2018 của Ủy ban Thường vụ Quốc hội từ ngày Nghị quyết này c</w:t>
      </w:r>
      <w:r>
        <w:t xml:space="preserve">ó </w:t>
      </w:r>
      <w:r>
        <w:rPr>
          <w:lang w:val="vi-VN"/>
        </w:rPr>
        <w:t>hiệu lực thi hành đến hết ngày 31 tháng 12 năm 2023.</w:t>
      </w:r>
    </w:p>
    <w:p w14:paraId="5AA5A0B9" w14:textId="77777777" w:rsidR="00000000" w:rsidRDefault="00000000">
      <w:pPr>
        <w:spacing w:before="120" w:after="280" w:afterAutospacing="1"/>
      </w:pPr>
      <w:r>
        <w:rPr>
          <w:lang w:val="vi-VN"/>
        </w:rPr>
        <w:t>4. Giao Chính phủ chỉ đạo các Bộ, cơ quan ngang Bộ, cơ quan khác ở trung ương, các địa phương, đơn vị có liên quan triển khai t</w:t>
      </w:r>
      <w:r>
        <w:t>h</w:t>
      </w:r>
      <w:r>
        <w:rPr>
          <w:lang w:val="vi-VN"/>
        </w:rPr>
        <w:t>ực hiện Nghị quyết n</w:t>
      </w:r>
      <w:r>
        <w:t>à</w:t>
      </w:r>
      <w:r>
        <w:rPr>
          <w:lang w:val="vi-VN"/>
        </w:rPr>
        <w:t>y.</w:t>
      </w:r>
    </w:p>
    <w:p w14:paraId="1F13B77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Nghị quyết này được Ủy ban Thường vụ Quốc hội nước Cộng hòa x</w:t>
      </w:r>
      <w:r>
        <w:rPr>
          <w:i/>
          <w:iCs/>
        </w:rPr>
        <w:t xml:space="preserve">ã </w:t>
      </w:r>
      <w:r>
        <w:rPr>
          <w:i/>
          <w:iCs/>
          <w:lang w:val="vi-VN"/>
        </w:rPr>
        <w:t>hội chủ nghĩa Việt Nam kh</w:t>
      </w:r>
      <w:r>
        <w:rPr>
          <w:i/>
          <w:iCs/>
        </w:rPr>
        <w:t>ó</w:t>
      </w:r>
      <w:r>
        <w:rPr>
          <w:i/>
          <w:iCs/>
          <w:lang w:val="vi-VN"/>
        </w:rPr>
        <w:t>a XV thông qua tại phiên họp ngày 30 tháng 12 năm 2022.</w:t>
      </w:r>
    </w:p>
    <w:p w14:paraId="52723D66" w14:textId="77777777" w:rsidR="00000000" w:rsidRDefault="00000000">
      <w:pPr>
        <w:spacing w:before="120" w:after="280" w:afterAutospacing="1"/>
      </w:pPr>
      <w:r>
        <w:rPr>
          <w:i/>
          <w:iCs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000000" w14:paraId="396E4BBA" w14:textId="77777777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64D9" w14:textId="77777777" w:rsidR="00000000" w:rsidRDefault="00000000">
            <w:pPr>
              <w:spacing w:after="120"/>
            </w:pPr>
            <w:r>
              <w:rPr>
                <w:b/>
                <w:bCs/>
              </w:rPr>
              <w:t> </w:t>
            </w:r>
          </w:p>
          <w:p w14:paraId="3AEB96CC" w14:textId="77777777" w:rsidR="00000000" w:rsidRDefault="00000000">
            <w:pPr>
              <w:spacing w:after="120"/>
            </w:pPr>
            <w:r>
              <w:rPr>
                <w:b/>
                <w:bCs/>
              </w:rPr>
              <w:t> </w:t>
            </w:r>
          </w:p>
          <w:p w14:paraId="7B04F243" w14:textId="77777777" w:rsidR="00000000" w:rsidRDefault="00000000">
            <w:pPr>
              <w:spacing w:after="120"/>
            </w:pPr>
            <w:r>
              <w:rPr>
                <w:b/>
                <w:bCs/>
              </w:rPr>
              <w:t> </w:t>
            </w:r>
          </w:p>
          <w:p w14:paraId="07CEF299" w14:textId="77777777" w:rsidR="00000000" w:rsidRDefault="00000000">
            <w:r>
              <w:rPr>
                <w:lang w:val="vi-VN"/>
              </w:rPr>
              <w:t>E-pas: 115989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8D9B" w14:textId="77777777" w:rsidR="00000000" w:rsidRDefault="00000000">
            <w:pPr>
              <w:jc w:val="center"/>
            </w:pPr>
            <w:r>
              <w:rPr>
                <w:b/>
                <w:bCs/>
              </w:rPr>
              <w:t>TM. ỦY BAN THƯỜNG VỤ QUỐC HỘI</w:t>
            </w:r>
            <w:r>
              <w:rPr>
                <w:b/>
                <w:bCs/>
              </w:rPr>
              <w:br/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Vương Đình Huệ</w:t>
            </w:r>
          </w:p>
        </w:tc>
      </w:tr>
    </w:tbl>
    <w:p w14:paraId="575BDEEF" w14:textId="77777777" w:rsidR="00000000" w:rsidRDefault="00000000">
      <w:pPr>
        <w:spacing w:before="120" w:after="280" w:afterAutospacing="1"/>
      </w:pPr>
      <w:r>
        <w:rPr>
          <w:i/>
          <w:iCs/>
        </w:rPr>
        <w:t> </w:t>
      </w:r>
    </w:p>
    <w:p w14:paraId="7A8451C9" w14:textId="77777777" w:rsidR="00ED4172" w:rsidRDefault="00000000">
      <w:pPr>
        <w:spacing w:before="120" w:after="280" w:afterAutospacing="1"/>
      </w:pPr>
      <w:r>
        <w:rPr>
          <w:b/>
          <w:bCs/>
          <w:lang w:val="vi-VN"/>
        </w:rPr>
        <w:t> </w:t>
      </w:r>
    </w:p>
    <w:sectPr w:rsidR="00ED417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4C"/>
    <w:rsid w:val="00CD584C"/>
    <w:rsid w:val="00ED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B98C9"/>
  <w15:chartTrackingRefBased/>
  <w15:docId w15:val="{E9B439C8-616C-43C0-9F46-882DA5E9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2023-01-03T01:37:00Z</dcterms:created>
  <dcterms:modified xsi:type="dcterms:W3CDTF">2023-01-03T01:37:00Z</dcterms:modified>
</cp:coreProperties>
</file>