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18E32" w14:textId="77777777" w:rsidR="001E776C" w:rsidRPr="00AC6914" w:rsidRDefault="001E776C" w:rsidP="00AC6914">
      <w:pPr>
        <w:spacing w:before="120" w:after="120" w:line="240" w:lineRule="auto"/>
        <w:jc w:val="center"/>
        <w:rPr>
          <w:rFonts w:cs="Times New Roman"/>
          <w:sz w:val="24"/>
          <w:szCs w:val="24"/>
        </w:rPr>
      </w:pPr>
      <w:bookmarkStart w:id="0" w:name="chuong_phuluc_5"/>
      <w:r w:rsidRPr="00AC6914">
        <w:rPr>
          <w:rFonts w:cs="Times New Roman"/>
          <w:b/>
          <w:bCs/>
          <w:sz w:val="24"/>
          <w:szCs w:val="24"/>
          <w:lang w:val="vi-VN"/>
        </w:rPr>
        <w:t>PHỤ LỤC 5</w:t>
      </w:r>
      <w:bookmarkEnd w:id="0"/>
    </w:p>
    <w:p w14:paraId="2488D97A" w14:textId="77777777" w:rsidR="001E776C" w:rsidRPr="00AC6914" w:rsidRDefault="001E776C" w:rsidP="00AC6914">
      <w:pPr>
        <w:spacing w:before="120" w:after="120" w:line="240" w:lineRule="auto"/>
        <w:jc w:val="center"/>
        <w:rPr>
          <w:rFonts w:cs="Times New Roman"/>
          <w:sz w:val="24"/>
          <w:szCs w:val="24"/>
        </w:rPr>
      </w:pPr>
      <w:bookmarkStart w:id="1" w:name="chuong_phuluc_5_name"/>
      <w:r w:rsidRPr="00AC6914">
        <w:rPr>
          <w:rFonts w:cs="Times New Roman"/>
          <w:sz w:val="24"/>
          <w:szCs w:val="24"/>
          <w:lang w:val="vi-VN"/>
        </w:rPr>
        <w:t>BÁO CÁO CÔNG TÁC BẢO VỆ MÔI TRƯỜNG KHU KINH TẾ, KHU CÔNG NGHIỆP, KHU CHẾ XUẤT, KHU CÔNG NGHỆ CAO</w:t>
      </w:r>
      <w:bookmarkEnd w:id="1"/>
      <w:r w:rsidRPr="00AC6914">
        <w:rPr>
          <w:rFonts w:cs="Times New Roman"/>
          <w:sz w:val="24"/>
          <w:szCs w:val="24"/>
          <w:lang w:val="vi-VN"/>
        </w:rPr>
        <w:br/>
      </w:r>
      <w:r w:rsidRPr="00AC6914">
        <w:rPr>
          <w:rFonts w:cs="Times New Roman"/>
          <w:i/>
          <w:iCs/>
          <w:sz w:val="24"/>
          <w:szCs w:val="24"/>
          <w:lang w:val="vi-VN"/>
        </w:rPr>
        <w:t>(Ban hành kèm theo Thông tư số 35/2015/TT-BTNMT ngày 30 tháng 6 năm 2015 của Bộ trưởng Bộ Tài nguyên và Môi trường)</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580"/>
      </w:tblGrid>
      <w:tr w:rsidR="001E776C" w:rsidRPr="00AC6914" w14:paraId="655D786F" w14:textId="77777777" w:rsidTr="001E776C">
        <w:trPr>
          <w:jc w:val="center"/>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0BD179"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sz w:val="24"/>
                <w:szCs w:val="24"/>
              </w:rPr>
              <w:t>ỦY BAN NHÂN DÂN TỈNH ...</w:t>
            </w:r>
          </w:p>
          <w:p w14:paraId="2D6FD29E"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TÊN BAN QUẢN LÝ CÁC KHU KINH TẾ, KHU CÔNG NGHIỆP, KHU CHẾ XUẤT, KHU CÔNG NGHỆ CAO</w:t>
            </w:r>
          </w:p>
          <w:p w14:paraId="35EFD210"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 </w:t>
            </w:r>
          </w:p>
          <w:p w14:paraId="4C5A8169"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 </w:t>
            </w:r>
          </w:p>
          <w:p w14:paraId="47236B91"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BÁO CÁO CÔNG TÁC BẢO VỆ MÔI TRƯỜNG KHU KINH TẾ, KHU CÔNG NGHIỆP, KHU CHẾ XUẤT, KHU CÔNG NGHỆ CAO</w:t>
            </w:r>
          </w:p>
          <w:p w14:paraId="34E26C06"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sz w:val="24"/>
                <w:szCs w:val="24"/>
              </w:rPr>
              <w:t> </w:t>
            </w:r>
          </w:p>
          <w:p w14:paraId="6D56ED8E"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sz w:val="24"/>
                <w:szCs w:val="24"/>
              </w:rPr>
              <w:t> </w:t>
            </w:r>
          </w:p>
          <w:p w14:paraId="3AE45673"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sz w:val="24"/>
                <w:szCs w:val="24"/>
              </w:rPr>
              <w:t> </w:t>
            </w:r>
          </w:p>
          <w:p w14:paraId="64D548FA"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Tháng ……., năm ……….</w:t>
            </w:r>
          </w:p>
        </w:tc>
      </w:tr>
    </w:tbl>
    <w:p w14:paraId="4DE21D74" w14:textId="77777777" w:rsidR="001E776C" w:rsidRPr="00AC6914" w:rsidRDefault="001E776C" w:rsidP="00AC6914">
      <w:pPr>
        <w:spacing w:before="120" w:after="120" w:line="240" w:lineRule="auto"/>
        <w:jc w:val="both"/>
        <w:rPr>
          <w:rFonts w:cs="Times New Roman"/>
          <w:sz w:val="24"/>
          <w:szCs w:val="24"/>
        </w:rPr>
      </w:pPr>
      <w:r w:rsidRPr="00AC6914">
        <w:rPr>
          <w:rFonts w:cs="Times New Roman"/>
          <w:b/>
          <w:bCs/>
          <w:sz w:val="24"/>
          <w:szCs w:val="24"/>
        </w:rPr>
        <w:t xml:space="preserve">I. </w:t>
      </w:r>
      <w:r w:rsidRPr="00AC6914">
        <w:rPr>
          <w:rFonts w:cs="Times New Roman"/>
          <w:b/>
          <w:bCs/>
          <w:sz w:val="24"/>
          <w:szCs w:val="24"/>
          <w:lang w:val="vi-VN"/>
        </w:rPr>
        <w:t>THÔNG TIN CHUNG</w:t>
      </w:r>
    </w:p>
    <w:p w14:paraId="7690D0E4"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 Tên Ban quản lý các khu kinh tế, khu công nghiệp, khu chế xuất, khu công nghệ cao:</w:t>
      </w:r>
    </w:p>
    <w:p w14:paraId="2CAAAE4B"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 Địa chỉ:</w:t>
      </w:r>
    </w:p>
    <w:p w14:paraId="2AED49A4"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 Người đại diện:</w:t>
      </w:r>
    </w:p>
    <w:p w14:paraId="6C2EDC9C"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 Số điện thoại:              Fax:                  E-mail:</w:t>
      </w:r>
    </w:p>
    <w:p w14:paraId="5CD24A2D"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 Tình hình hoạt động tại các khu kinh tế, khu công nghiệp, khu chế xuất, khu công nghệ cao (căn cứ số liệu tại Bảng 5a, 5b).</w:t>
      </w:r>
    </w:p>
    <w:p w14:paraId="0A7483C8" w14:textId="77777777" w:rsidR="001E776C" w:rsidRPr="00AC6914" w:rsidRDefault="001E776C" w:rsidP="00AC6914">
      <w:pPr>
        <w:spacing w:before="120" w:after="120" w:line="240" w:lineRule="auto"/>
        <w:jc w:val="both"/>
        <w:rPr>
          <w:rFonts w:cs="Times New Roman"/>
          <w:sz w:val="24"/>
          <w:szCs w:val="24"/>
        </w:rPr>
      </w:pPr>
      <w:r w:rsidRPr="00AC6914">
        <w:rPr>
          <w:rFonts w:cs="Times New Roman"/>
          <w:b/>
          <w:bCs/>
          <w:sz w:val="24"/>
          <w:szCs w:val="24"/>
          <w:lang w:val="vi-VN"/>
        </w:rPr>
        <w:t>II. HIỆN TRẠNG MÔI TRƯỜNG TẠI CÁC KHU KINH TẾ, KHU CÔNG NGHIỆP, KHU CHẾ XUẤT, KHU CÔNG NGHỆ CAO</w:t>
      </w:r>
    </w:p>
    <w:p w14:paraId="32F0448F"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1. Đánh giá hiện trạng môi trường không khí, tiếng ồn tại các khu kinh tế, khu công nghiệp, khu chế xuất, khu công nghệ cao và so sánh với các quy chuẩn kỹ thuật môi trường. Đánh giá diễn biến so với (những) năm trước, biểu thị bằng biểu đồ so sánh.</w:t>
      </w:r>
    </w:p>
    <w:p w14:paraId="4682DE91"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2. Đánh giá hiện trạng môi trường đất tại các khu kinh tế, khu công nghiệp, khu chế xuất, khu công nghệ cao và so sánh với các quy chuẩn kỹ thuật môi trường. Đánh giá diễn biến so với (những) năm trước, biểu thị bằng biểu đồ so sánh.</w:t>
      </w:r>
    </w:p>
    <w:p w14:paraId="25A1387E"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3. Đánh giá hiện trạng môi trường nước tại các khu kinh tế, khu công nghiệp, khu chế xuất, khu công nghệ cao về chất lượng, tổng lượng thải (ước tính trong năm lập báo cáo) và so sánh với các quy chuẩn kỹ thuật môi trường. Đánh giá diễn biến so với (những) năm trước, biểu thị bằng biểu đồ so sánh.</w:t>
      </w:r>
    </w:p>
    <w:p w14:paraId="35010F1E"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4. Đánh giá tổng lượng chất thải rắn (chất thải rắn công nghiệp, chất thải nguy hại, bùn thải,...) phát sinh tại các khu kinh tế, khu công nghiệp, khu chế xuất, khu công nghệ cao bao gồm thu gom, vận chuyển, xử lý (kể cả hợp đồng với các đơn vị bên ngoài). Đánh giá diễn biến so với (những) năm trước, biểu thị bằng biểu đồ so sánh.</w:t>
      </w:r>
    </w:p>
    <w:p w14:paraId="04ADC778"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lastRenderedPageBreak/>
        <w:t>5. Một số vấn đề liên quan khác.</w:t>
      </w:r>
    </w:p>
    <w:p w14:paraId="19CA0AB5"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(Lưu ý: việc đánh giá hiện trạng môi trường tại các khu kinh tế, khu công nghiệp, khu chế xuất, khu công nghệ cao phải căn cứ vào báo cáo kết quả quan trắc và công tác bảo vệ môi trường quy định tại Khoản 4 Điều 15 Thông tư này).</w:t>
      </w:r>
    </w:p>
    <w:p w14:paraId="7709797F" w14:textId="77777777" w:rsidR="001E776C" w:rsidRPr="00AC6914" w:rsidRDefault="001E776C" w:rsidP="00AC6914">
      <w:pPr>
        <w:spacing w:before="120" w:after="120" w:line="240" w:lineRule="auto"/>
        <w:jc w:val="both"/>
        <w:rPr>
          <w:rFonts w:cs="Times New Roman"/>
          <w:sz w:val="24"/>
          <w:szCs w:val="24"/>
        </w:rPr>
      </w:pPr>
      <w:r w:rsidRPr="00AC6914">
        <w:rPr>
          <w:rFonts w:cs="Times New Roman"/>
          <w:b/>
          <w:bCs/>
          <w:sz w:val="24"/>
          <w:szCs w:val="24"/>
          <w:lang w:val="vi-VN"/>
        </w:rPr>
        <w:t>III. HOẠT ĐỘNG BẢO VỆ MÔI TRƯỜNG TẠI CÁC KHU KINH TẾ, KHU CÔNG NGHIỆP, KHU CHẾ XUẤT, KHU CÔNG NGHỆ CAO</w:t>
      </w:r>
    </w:p>
    <w:p w14:paraId="418702BC"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1. Việc xây dựng và thực hiện quy chế phối hợp bảo vệ môi trường khu kinh tế, khu công nghiệp, khu chế xuất, khu công nghệ cao trên địa bàn; phổ biến và hướng dẫn việc thực hiện pháp luật bảo vệ môi trường; tình hình hoạt động của bộ phận chuyên trách về bảo vệ môi trường.</w:t>
      </w:r>
    </w:p>
    <w:p w14:paraId="7380BB0A"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2. Tình hình tuân thủ và thực hiện các quy định pháp luật trong hoạt động bảo vệ môi trường (Luật, Nghị định, Thông tư,...). Kết quả thanh tra, kiểm tra về môi trường tại các khu kinh tế, khu công nghiệp, khu chế xuất, khu công nghệ cao.</w:t>
      </w:r>
    </w:p>
    <w:p w14:paraId="2C94592F"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3. Đánh giá hiện trạng hoạt động của các công trình xử lý chất thải và các biện pháp bảo vệ môi trường khác tại các khu kinh tế, khu công nghiệp, khu chế xuất, khu công nghệ cao (Nêu rõ về số lượng, quy mô hoạt động của công trình, so sánh với thực trạng phát sinh chất thải và nhu cầu xử lý).</w:t>
      </w:r>
    </w:p>
    <w:p w14:paraId="522E1EF0"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4. Việc xây dựng và thực hiện kế hoạch phòng ngừa, ứng phó và khắc phục sự cố môi trường của các khu công nghiệp, khu chế xuất, khu công nghệ cao.</w:t>
      </w:r>
    </w:p>
    <w:p w14:paraId="4E65C63D"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5. Tình hình thực hiện các quy định về quan trắc, thông tin và báo cáo kết quả quan trắc môi trường tại các khu kinh tế, khu công nghiệp, khu chế xuất, khu công nghệ cao.</w:t>
      </w:r>
    </w:p>
    <w:p w14:paraId="3172DEF6" w14:textId="77777777" w:rsidR="001E776C" w:rsidRPr="00AC6914" w:rsidRDefault="001E776C" w:rsidP="00AC6914">
      <w:pPr>
        <w:spacing w:before="120" w:after="120" w:line="240" w:lineRule="auto"/>
        <w:jc w:val="both"/>
        <w:rPr>
          <w:rFonts w:cs="Times New Roman"/>
          <w:sz w:val="24"/>
          <w:szCs w:val="24"/>
        </w:rPr>
      </w:pPr>
      <w:r w:rsidRPr="00AC6914">
        <w:rPr>
          <w:rFonts w:cs="Times New Roman"/>
          <w:b/>
          <w:bCs/>
          <w:sz w:val="24"/>
          <w:szCs w:val="24"/>
          <w:lang w:val="vi-VN"/>
        </w:rPr>
        <w:t>IV. KẾT LUẬN - KIẾN NGHỊ</w:t>
      </w:r>
    </w:p>
    <w:p w14:paraId="1EE0642D"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1. Đánh giá chung về chất lượng môi trường các khu kinh tế, khu công nghiệp, khu chế xuất, khu công nghệ cao.</w:t>
      </w:r>
    </w:p>
    <w:p w14:paraId="216FDFE7"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2. Đánh giá chung về sự tuân thủ các quy định bảo vệ môi trường tại các khu kinh tế, khu công nghiệp, khu chế xuất, khu công nghệ cao.</w:t>
      </w:r>
    </w:p>
    <w:p w14:paraId="5BED5451"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3. Đánh giá những khó khăn, vướng mắc trong hoạt động bảo vệ môi trường tại các khu kinh tế, khu công nghiệp, khu chế xuất, khu công nghệ cao và đề xuất, kiến nghị (nếu có) với cơ quan quản lý nhà nước.</w:t>
      </w:r>
    </w:p>
    <w:p w14:paraId="3AC8987E" w14:textId="77777777" w:rsidR="001E776C" w:rsidRPr="00AC6914" w:rsidRDefault="001E776C" w:rsidP="00AC6914">
      <w:pPr>
        <w:spacing w:before="120" w:after="120" w:line="240" w:lineRule="auto"/>
        <w:jc w:val="both"/>
        <w:rPr>
          <w:rFonts w:cs="Times New Roman"/>
          <w:sz w:val="24"/>
          <w:szCs w:val="24"/>
        </w:rPr>
      </w:pPr>
      <w:r w:rsidRPr="00AC6914">
        <w:rPr>
          <w:rFonts w:cs="Times New Roman"/>
          <w:b/>
          <w:bCs/>
          <w:sz w:val="24"/>
          <w:szCs w:val="24"/>
          <w:lang w:val="vi-VN"/>
        </w:rPr>
        <w:t>V. CÁC PHỤ LỤC</w:t>
      </w:r>
    </w:p>
    <w:p w14:paraId="3C8EF749"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 Danh sách các khu kinh tế, khu công nghiệp, khu chế xuất, khu công nghệ cao của địa phương theo Bảng 5a, 5b.</w:t>
      </w:r>
    </w:p>
    <w:p w14:paraId="53B1795F"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 Danh sách các cơ sở sản xuất, kinh doanh, dịch vụ trong từng khu công nghiệp, khu chế xuất, khu công nghệ cao trên địa bàn theo Bảng 5c.</w:t>
      </w:r>
    </w:p>
    <w:p w14:paraId="5A8A00C9"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 Sơ đồ vị trí xả thải, vị trí quan trắc và hệ thống xử lý nước thải tập trung của từng khu công nghiệp, khu chế xuất, khu công nghệ cao.</w:t>
      </w:r>
    </w:p>
    <w:p w14:paraId="7B4CFF99"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 Các bảng, biểu về kết quả phân tích, quan trắc các thông số theo từng thành phần môi trường tại các khu kinh tế, khu công nghiệp, khu chế xuất, khu công nghệ cao.</w:t>
      </w:r>
    </w:p>
    <w:p w14:paraId="53F695F4" w14:textId="77777777" w:rsidR="001E776C" w:rsidRPr="00AC6914" w:rsidRDefault="001E776C" w:rsidP="00AC6914">
      <w:pPr>
        <w:spacing w:before="120" w:after="120" w:line="240" w:lineRule="auto"/>
        <w:jc w:val="both"/>
        <w:rPr>
          <w:rFonts w:cs="Times New Roman"/>
          <w:sz w:val="24"/>
          <w:szCs w:val="24"/>
        </w:rPr>
      </w:pPr>
      <w:r w:rsidRPr="00AC6914">
        <w:rPr>
          <w:rFonts w:cs="Times New Roman"/>
          <w:sz w:val="24"/>
          <w:szCs w:val="24"/>
          <w:lang w:val="vi-VN"/>
        </w:rPr>
        <w:t>- Các kết quả thanh tra, kiểm tra.</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90"/>
        <w:gridCol w:w="4290"/>
      </w:tblGrid>
      <w:tr w:rsidR="001E776C" w:rsidRPr="00AC6914" w14:paraId="7FDB6E54" w14:textId="77777777" w:rsidTr="00AC6914">
        <w:trPr>
          <w:jc w:val="center"/>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7422A25" w14:textId="495EE7AD" w:rsidR="001E776C" w:rsidRPr="00AC6914" w:rsidRDefault="001E776C" w:rsidP="00AC6914">
            <w:pPr>
              <w:spacing w:before="120" w:after="120" w:line="240" w:lineRule="auto"/>
              <w:rPr>
                <w:rFonts w:cs="Times New Roman"/>
                <w:sz w:val="24"/>
                <w:szCs w:val="24"/>
              </w:rPr>
            </w:pPr>
            <w:r w:rsidRPr="00AC6914">
              <w:rPr>
                <w:rFonts w:cs="Times New Roman"/>
                <w:sz w:val="24"/>
                <w:szCs w:val="24"/>
                <w:lang w:val="vi-VN"/>
              </w:rPr>
              <w:t> </w:t>
            </w:r>
            <w:r w:rsidRPr="00AC6914">
              <w:rPr>
                <w:rFonts w:cs="Times New Roman"/>
                <w:sz w:val="24"/>
                <w:szCs w:val="24"/>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057B584"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ĐẠI DIỆN CƠ QUAN BÁO CÁO</w:t>
            </w:r>
            <w:r w:rsidRPr="00AC6914">
              <w:rPr>
                <w:rFonts w:cs="Times New Roman"/>
                <w:b/>
                <w:bCs/>
                <w:sz w:val="24"/>
                <w:szCs w:val="24"/>
              </w:rPr>
              <w:br/>
            </w:r>
            <w:r w:rsidRPr="00AC6914">
              <w:rPr>
                <w:rFonts w:cs="Times New Roman"/>
                <w:sz w:val="24"/>
                <w:szCs w:val="24"/>
              </w:rPr>
              <w:t>(ký, ghi rõ họ tên, đóng dấu)</w:t>
            </w:r>
          </w:p>
        </w:tc>
      </w:tr>
    </w:tbl>
    <w:p w14:paraId="20248381"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lang w:val="vi-VN"/>
        </w:rPr>
        <w:t> </w:t>
      </w:r>
    </w:p>
    <w:p w14:paraId="33D5B06C"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lang w:val="vi-VN"/>
        </w:rPr>
        <w:t>Bảng 5a. Danh sách các khu kinh tế trên địa bàn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72"/>
        <w:gridCol w:w="719"/>
        <w:gridCol w:w="649"/>
        <w:gridCol w:w="1950"/>
        <w:gridCol w:w="538"/>
        <w:gridCol w:w="898"/>
        <w:gridCol w:w="553"/>
        <w:gridCol w:w="763"/>
        <w:gridCol w:w="553"/>
        <w:gridCol w:w="763"/>
        <w:gridCol w:w="626"/>
      </w:tblGrid>
      <w:tr w:rsidR="001E776C" w:rsidRPr="00AC6914" w14:paraId="07D46AF6" w14:textId="77777777" w:rsidTr="001E776C">
        <w:trPr>
          <w:jc w:val="center"/>
        </w:trPr>
        <w:tc>
          <w:tcPr>
            <w:tcW w:w="614"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DE00CB"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TT</w:t>
            </w:r>
          </w:p>
        </w:tc>
        <w:tc>
          <w:tcPr>
            <w:tcW w:w="150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13242"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Tên khu kinh tế (năm thành lập)</w:t>
            </w:r>
          </w:p>
        </w:tc>
        <w:tc>
          <w:tcPr>
            <w:tcW w:w="5495"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1BE88"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Hiện trạng hoạt động</w:t>
            </w:r>
          </w:p>
        </w:tc>
        <w:tc>
          <w:tcPr>
            <w:tcW w:w="2233"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735DC"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Tổng lượng nước thải được xử lý/lượng phát sinh (m</w:t>
            </w:r>
            <w:r w:rsidRPr="00AC6914">
              <w:rPr>
                <w:rFonts w:cs="Times New Roman"/>
                <w:b/>
                <w:bCs/>
                <w:sz w:val="24"/>
                <w:szCs w:val="24"/>
                <w:vertAlign w:val="superscript"/>
              </w:rPr>
              <w:t>3</w:t>
            </w:r>
            <w:r w:rsidRPr="00AC6914">
              <w:rPr>
                <w:rFonts w:cs="Times New Roman"/>
                <w:b/>
                <w:bCs/>
                <w:sz w:val="24"/>
                <w:szCs w:val="24"/>
              </w:rPr>
              <w:t>/ngđ)</w:t>
            </w:r>
          </w:p>
        </w:tc>
        <w:tc>
          <w:tcPr>
            <w:tcW w:w="3332" w:type="dxa"/>
            <w:gridSpan w:val="3"/>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9F338"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Tổng lượng CTR được xử lý/lượng phát sinh (tấn/năm)</w:t>
            </w:r>
          </w:p>
        </w:tc>
      </w:tr>
      <w:tr w:rsidR="001E776C" w:rsidRPr="00AC6914" w14:paraId="75B7DB53"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tcPr>
          <w:p w14:paraId="7B181B02"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66D10C0B" w14:textId="77777777" w:rsidR="001E776C" w:rsidRPr="00AC6914" w:rsidRDefault="001E776C" w:rsidP="00AC6914">
            <w:pPr>
              <w:spacing w:before="120" w:after="120" w:line="240" w:lineRule="auto"/>
              <w:jc w:val="center"/>
              <w:rPr>
                <w:rFonts w:cs="Times New Roman"/>
                <w:sz w:val="24"/>
                <w:szCs w:val="24"/>
              </w:rPr>
            </w:pPr>
          </w:p>
        </w:tc>
        <w:tc>
          <w:tcPr>
            <w:tcW w:w="11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7E69F"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Chưa hoạt động</w:t>
            </w:r>
          </w:p>
        </w:tc>
        <w:tc>
          <w:tcPr>
            <w:tcW w:w="4384"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75FCB"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Đang hoạt động</w:t>
            </w:r>
          </w:p>
        </w:tc>
        <w:tc>
          <w:tcPr>
            <w:tcW w:w="0" w:type="auto"/>
            <w:gridSpan w:val="2"/>
            <w:tcBorders>
              <w:top w:val="single" w:sz="8" w:space="0" w:color="auto"/>
              <w:left w:val="nil"/>
              <w:bottom w:val="single" w:sz="8" w:space="0" w:color="auto"/>
              <w:right w:val="single" w:sz="8" w:space="0" w:color="auto"/>
              <w:tl2br w:val="nil"/>
              <w:tr2bl w:val="nil"/>
            </w:tcBorders>
            <w:shd w:val="clear" w:color="auto" w:fill="auto"/>
          </w:tcPr>
          <w:p w14:paraId="1652B64E" w14:textId="77777777" w:rsidR="001E776C" w:rsidRPr="00AC6914" w:rsidRDefault="001E776C" w:rsidP="00AC6914">
            <w:pPr>
              <w:spacing w:before="120" w:after="120" w:line="240" w:lineRule="auto"/>
              <w:jc w:val="center"/>
              <w:rPr>
                <w:rFonts w:cs="Times New Roman"/>
                <w:sz w:val="24"/>
                <w:szCs w:val="24"/>
              </w:rPr>
            </w:pPr>
          </w:p>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tcPr>
          <w:p w14:paraId="7E2893B7" w14:textId="77777777" w:rsidR="001E776C" w:rsidRPr="00AC6914" w:rsidRDefault="001E776C" w:rsidP="00AC6914">
            <w:pPr>
              <w:spacing w:before="120" w:after="120" w:line="240" w:lineRule="auto"/>
              <w:jc w:val="center"/>
              <w:rPr>
                <w:rFonts w:cs="Times New Roman"/>
                <w:sz w:val="24"/>
                <w:szCs w:val="24"/>
              </w:rPr>
            </w:pPr>
          </w:p>
        </w:tc>
      </w:tr>
      <w:tr w:rsidR="001E776C" w:rsidRPr="00AC6914" w14:paraId="22ECF8C7"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tcPr>
          <w:p w14:paraId="2965E522"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45140512" w14:textId="77777777" w:rsidR="001E776C" w:rsidRPr="00AC6914" w:rsidRDefault="001E776C" w:rsidP="00AC6914">
            <w:pPr>
              <w:spacing w:before="120" w:after="120" w:line="240" w:lineRule="auto"/>
              <w:jc w:val="center"/>
              <w:rPr>
                <w:rFonts w:cs="Times New Roman"/>
                <w:sz w:val="24"/>
                <w:szCs w:val="24"/>
              </w:rPr>
            </w:pPr>
          </w:p>
        </w:tc>
        <w:tc>
          <w:tcPr>
            <w:tcW w:w="11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35477"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 </w:t>
            </w:r>
          </w:p>
        </w:tc>
        <w:tc>
          <w:tcPr>
            <w:tcW w:w="2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C134C"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KCN/KCX/KCNC</w:t>
            </w:r>
          </w:p>
        </w:tc>
        <w:tc>
          <w:tcPr>
            <w:tcW w:w="10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D420C"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Khu đô thị</w:t>
            </w:r>
          </w:p>
        </w:tc>
        <w:tc>
          <w:tcPr>
            <w:tcW w:w="11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B8E84"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Khu du lịch/khu kinh doanh dịch vụ...</w:t>
            </w:r>
          </w:p>
        </w:tc>
        <w:tc>
          <w:tcPr>
            <w:tcW w:w="10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734B8"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Sinh hoạt</w:t>
            </w:r>
          </w:p>
        </w:tc>
        <w:tc>
          <w:tcPr>
            <w:tcW w:w="1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E5DB9"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Công nghiệp</w:t>
            </w:r>
          </w:p>
        </w:tc>
        <w:tc>
          <w:tcPr>
            <w:tcW w:w="10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E44BE"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Sinh hoạt</w:t>
            </w:r>
          </w:p>
        </w:tc>
        <w:tc>
          <w:tcPr>
            <w:tcW w:w="1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01240"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Công nghiệp</w:t>
            </w:r>
          </w:p>
        </w:tc>
        <w:tc>
          <w:tcPr>
            <w:tcW w:w="10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90A4C"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Nguy hại</w:t>
            </w:r>
          </w:p>
        </w:tc>
      </w:tr>
      <w:tr w:rsidR="001E776C" w:rsidRPr="00AC6914" w14:paraId="6C2FA57E"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61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10A4C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F9415"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0BF45"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2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6AB8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E745D"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30155"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6E2C8"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708BE"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7450E"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0F05E"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22E86"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67FF3065"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61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ECB24E"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14AF4"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54CC8"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2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F5BD7"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3100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A12D1"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09998"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12280"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570D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81C44"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11CE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53642AD4"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61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F08867"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DBEF7"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40AF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2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625C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376D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3F1F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7AB30"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F2B5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DF5A7"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5F418"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1E9D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bl>
    <w:p w14:paraId="44CBE56D"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p w14:paraId="5D2D5B57"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lang w:val="vi-VN"/>
        </w:rPr>
        <w:t>Bảng 5b. Danh sách các khu công nghiệp, khu chế xuất, khu công nghệ cao trên địa bàn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77"/>
        <w:gridCol w:w="587"/>
        <w:gridCol w:w="406"/>
        <w:gridCol w:w="342"/>
        <w:gridCol w:w="428"/>
        <w:gridCol w:w="436"/>
        <w:gridCol w:w="835"/>
        <w:gridCol w:w="835"/>
        <w:gridCol w:w="760"/>
        <w:gridCol w:w="1092"/>
        <w:gridCol w:w="760"/>
        <w:gridCol w:w="760"/>
        <w:gridCol w:w="524"/>
        <w:gridCol w:w="342"/>
      </w:tblGrid>
      <w:tr w:rsidR="001E776C" w:rsidRPr="00AC6914" w14:paraId="0D859EF4" w14:textId="77777777" w:rsidTr="001E776C">
        <w:trPr>
          <w:jc w:val="center"/>
        </w:trPr>
        <w:tc>
          <w:tcPr>
            <w:tcW w:w="46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160328"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TT</w:t>
            </w:r>
          </w:p>
        </w:tc>
        <w:tc>
          <w:tcPr>
            <w:tcW w:w="102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3D43F"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Tên KCN, KCX, KCNC (năm thành lập)</w:t>
            </w:r>
          </w:p>
        </w:tc>
        <w:tc>
          <w:tcPr>
            <w:tcW w:w="75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24FFF"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Diện tích (ha)</w:t>
            </w:r>
          </w:p>
        </w:tc>
        <w:tc>
          <w:tcPr>
            <w:tcW w:w="68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3E50A"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Tỷ lệ lấp đầy (%)</w:t>
            </w:r>
          </w:p>
        </w:tc>
        <w:tc>
          <w:tcPr>
            <w:tcW w:w="79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6B721"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Số cơ sở đang hoạt động</w:t>
            </w:r>
          </w:p>
        </w:tc>
        <w:tc>
          <w:tcPr>
            <w:tcW w:w="82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C48A0"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Số cơ sở được miễn trừ đấu nối nước thải</w:t>
            </w:r>
          </w:p>
        </w:tc>
        <w:tc>
          <w:tcPr>
            <w:tcW w:w="1219"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B0196"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Tổng lượng chất thải rắn (tấn/năm)</w:t>
            </w:r>
          </w:p>
        </w:tc>
        <w:tc>
          <w:tcPr>
            <w:tcW w:w="1219"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89AB4"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Tổng lượng chất thải nguy hại (tấn/năm)</w:t>
            </w:r>
          </w:p>
        </w:tc>
        <w:tc>
          <w:tcPr>
            <w:tcW w:w="117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3C29C"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Tổng lượng nước thải phát sinh (m</w:t>
            </w:r>
            <w:r w:rsidRPr="00AC6914">
              <w:rPr>
                <w:rFonts w:cs="Times New Roman"/>
                <w:b/>
                <w:bCs/>
                <w:sz w:val="24"/>
                <w:szCs w:val="24"/>
                <w:vertAlign w:val="superscript"/>
              </w:rPr>
              <w:t>3</w:t>
            </w:r>
            <w:r w:rsidRPr="00AC6914">
              <w:rPr>
                <w:rFonts w:cs="Times New Roman"/>
                <w:b/>
                <w:bCs/>
                <w:sz w:val="24"/>
                <w:szCs w:val="24"/>
              </w:rPr>
              <w:t>/ngày đêm)</w:t>
            </w:r>
          </w:p>
        </w:tc>
        <w:tc>
          <w:tcPr>
            <w:tcW w:w="139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D9EA1"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Tổng lượng nước thải được xử lý tại HTXLNTTT (m</w:t>
            </w:r>
            <w:r w:rsidRPr="00AC6914">
              <w:rPr>
                <w:rFonts w:cs="Times New Roman"/>
                <w:b/>
                <w:bCs/>
                <w:sz w:val="24"/>
                <w:szCs w:val="24"/>
                <w:vertAlign w:val="superscript"/>
              </w:rPr>
              <w:t>3</w:t>
            </w:r>
            <w:r w:rsidRPr="00AC6914">
              <w:rPr>
                <w:rFonts w:cs="Times New Roman"/>
                <w:b/>
                <w:bCs/>
                <w:sz w:val="24"/>
                <w:szCs w:val="24"/>
              </w:rPr>
              <w:t>/ngày đêm)</w:t>
            </w:r>
          </w:p>
        </w:tc>
        <w:tc>
          <w:tcPr>
            <w:tcW w:w="117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B7D06"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Tổng lượng nước thải các cơ sở được miễn trừ đấu nối (m</w:t>
            </w:r>
            <w:r w:rsidRPr="00AC6914">
              <w:rPr>
                <w:rFonts w:cs="Times New Roman"/>
                <w:b/>
                <w:bCs/>
                <w:sz w:val="24"/>
                <w:szCs w:val="24"/>
                <w:vertAlign w:val="superscript"/>
              </w:rPr>
              <w:t>3</w:t>
            </w:r>
            <w:r w:rsidRPr="00AC6914">
              <w:rPr>
                <w:rFonts w:cs="Times New Roman"/>
                <w:b/>
                <w:bCs/>
                <w:sz w:val="24"/>
                <w:szCs w:val="24"/>
              </w:rPr>
              <w:t>/ngày đêm)</w:t>
            </w:r>
          </w:p>
        </w:tc>
        <w:tc>
          <w:tcPr>
            <w:tcW w:w="2443"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836A7"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Hệ thống xử lý nước thải tập trung</w:t>
            </w:r>
          </w:p>
        </w:tc>
      </w:tr>
      <w:tr w:rsidR="001E776C" w:rsidRPr="00AC6914" w14:paraId="5A448D5D"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tcPr>
          <w:p w14:paraId="5A2FBAE6"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7421F599"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55D7EBF0"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57832BAE"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5E2F95B7"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628F6FB6"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33BD77FA"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06B08A04"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3DAB66E9"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7397DFF8"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24781971" w14:textId="77777777" w:rsidR="001E776C" w:rsidRPr="00AC6914" w:rsidRDefault="001E776C" w:rsidP="00AC6914">
            <w:pPr>
              <w:spacing w:before="120" w:after="120" w:line="240" w:lineRule="auto"/>
              <w:jc w:val="center"/>
              <w:rPr>
                <w:rFonts w:cs="Times New Roman"/>
                <w:sz w:val="24"/>
                <w:szCs w:val="24"/>
              </w:rPr>
            </w:pPr>
          </w:p>
        </w:tc>
        <w:tc>
          <w:tcPr>
            <w:tcW w:w="10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4D0B4"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Công suất thiết kế (m</w:t>
            </w:r>
            <w:r w:rsidRPr="00AC6914">
              <w:rPr>
                <w:rFonts w:cs="Times New Roman"/>
                <w:b/>
                <w:bCs/>
                <w:sz w:val="24"/>
                <w:szCs w:val="24"/>
                <w:vertAlign w:val="superscript"/>
              </w:rPr>
              <w:t>3</w:t>
            </w:r>
            <w:r w:rsidRPr="00AC6914">
              <w:rPr>
                <w:rFonts w:cs="Times New Roman"/>
                <w:b/>
                <w:bCs/>
                <w:sz w:val="24"/>
                <w:szCs w:val="24"/>
              </w:rPr>
              <w:t>/ngày đêm)</w:t>
            </w:r>
          </w:p>
        </w:tc>
        <w:tc>
          <w:tcPr>
            <w:tcW w:w="8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75C43"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Quy chuẩn xả thải</w:t>
            </w:r>
          </w:p>
        </w:tc>
        <w:tc>
          <w:tcPr>
            <w:tcW w:w="5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B4C22"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Vị trí xả thải</w:t>
            </w:r>
          </w:p>
        </w:tc>
      </w:tr>
      <w:tr w:rsidR="001E776C" w:rsidRPr="00AC6914" w14:paraId="2AE6CE65"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46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F020E6"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AD18D"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7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5D855"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8DAA5"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7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8B466"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8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D9055"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70092"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DA5E7"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23FA0"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F9326"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CF139"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ED812"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8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40581"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5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3ECF8"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0E8CD38C"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46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88CC89"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B876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7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72A8D"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847C6"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7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66DFE"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8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674CD"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BB9E8"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7E687"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39C97"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B14A2"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38B81"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BA90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8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16C14"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5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C2DF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53900AE6"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46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C61C6"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FC072"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75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6B53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6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417F0"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7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73B4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8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B3FE8"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F8B0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4C2F0"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74AA7"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3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7BDDE"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B8EEB"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0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699B8"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80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42B92"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5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8401B"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bl>
    <w:p w14:paraId="57FEF125"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p w14:paraId="6A75FF3E"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lang w:val="vi-VN"/>
        </w:rPr>
        <w:t>Bảng 5c. Danh sách cơ sở hoạt động trong các khu công nghiệp, khu chế xuất, khu công nghệ cao trên địa bàn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6"/>
        <w:gridCol w:w="1843"/>
        <w:gridCol w:w="505"/>
        <w:gridCol w:w="1003"/>
        <w:gridCol w:w="681"/>
        <w:gridCol w:w="518"/>
        <w:gridCol w:w="899"/>
        <w:gridCol w:w="1295"/>
        <w:gridCol w:w="722"/>
        <w:gridCol w:w="592"/>
      </w:tblGrid>
      <w:tr w:rsidR="001E776C" w:rsidRPr="00AC6914" w14:paraId="5079EE78" w14:textId="77777777" w:rsidTr="001E776C">
        <w:trPr>
          <w:jc w:val="center"/>
        </w:trPr>
        <w:tc>
          <w:tcPr>
            <w:tcW w:w="60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CDCF74"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TT</w:t>
            </w:r>
          </w:p>
        </w:tc>
        <w:tc>
          <w:tcPr>
            <w:tcW w:w="255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C7E7E"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KCN/KCX/KCNC</w:t>
            </w:r>
          </w:p>
        </w:tc>
        <w:tc>
          <w:tcPr>
            <w:tcW w:w="116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D6A15"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Tên cơ sở hoạt động</w:t>
            </w:r>
          </w:p>
        </w:tc>
        <w:tc>
          <w:tcPr>
            <w:tcW w:w="138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B9E51"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Loại hình sản xuất chính/quy mô công suất</w:t>
            </w:r>
          </w:p>
        </w:tc>
        <w:tc>
          <w:tcPr>
            <w:tcW w:w="2376"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55879"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Khí thải</w:t>
            </w:r>
          </w:p>
        </w:tc>
        <w:tc>
          <w:tcPr>
            <w:tcW w:w="3979"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00BFF"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Nước thải</w:t>
            </w:r>
          </w:p>
        </w:tc>
        <w:tc>
          <w:tcPr>
            <w:tcW w:w="11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92128"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Tổng lượng chất thải rắn phát sinh (tấn/ năm)</w:t>
            </w:r>
          </w:p>
        </w:tc>
      </w:tr>
      <w:tr w:rsidR="001E776C" w:rsidRPr="00AC6914" w14:paraId="4A95F05E"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tcPr>
          <w:p w14:paraId="70BE63DB"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5309C8D6"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396A9262" w14:textId="77777777" w:rsidR="001E776C" w:rsidRPr="00AC6914" w:rsidRDefault="001E776C" w:rsidP="00AC6914">
            <w:pPr>
              <w:spacing w:before="120" w:after="120" w:line="240" w:lineRule="auto"/>
              <w:jc w:val="center"/>
              <w:rPr>
                <w:rFonts w:cs="Times New Roman"/>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Pr>
          <w:p w14:paraId="487E8EDF" w14:textId="77777777" w:rsidR="001E776C" w:rsidRPr="00AC6914" w:rsidRDefault="001E776C" w:rsidP="00AC6914">
            <w:pPr>
              <w:spacing w:before="120" w:after="120" w:line="240" w:lineRule="auto"/>
              <w:jc w:val="center"/>
              <w:rPr>
                <w:rFonts w:cs="Times New Roman"/>
                <w:sz w:val="24"/>
                <w:szCs w:val="24"/>
              </w:rPr>
            </w:pP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BCF9D"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Lượng khí thải phát sinh</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88245"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Biện pháp xử lý</w:t>
            </w:r>
          </w:p>
        </w:tc>
        <w:tc>
          <w:tcPr>
            <w:tcW w:w="1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A4871"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Tổng lượng nước thải phát sinh (m</w:t>
            </w:r>
            <w:r w:rsidRPr="00AC6914">
              <w:rPr>
                <w:rFonts w:cs="Times New Roman"/>
                <w:b/>
                <w:bCs/>
                <w:sz w:val="24"/>
                <w:szCs w:val="24"/>
                <w:vertAlign w:val="superscript"/>
              </w:rPr>
              <w:t>3</w:t>
            </w:r>
            <w:r w:rsidRPr="00AC6914">
              <w:rPr>
                <w:rFonts w:cs="Times New Roman"/>
                <w:b/>
                <w:bCs/>
                <w:sz w:val="24"/>
                <w:szCs w:val="24"/>
              </w:rPr>
              <w:t>/ngày đêm)</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9D371"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Đấu nối vào HTXLNTTT</w:t>
            </w:r>
          </w:p>
        </w:tc>
        <w:tc>
          <w:tcPr>
            <w:tcW w:w="1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17F54" w14:textId="77777777" w:rsidR="001E776C" w:rsidRPr="00AC6914" w:rsidRDefault="001E776C" w:rsidP="00AC6914">
            <w:pPr>
              <w:spacing w:before="120" w:after="120" w:line="240" w:lineRule="auto"/>
              <w:jc w:val="center"/>
              <w:rPr>
                <w:rFonts w:cs="Times New Roman"/>
                <w:sz w:val="24"/>
                <w:szCs w:val="24"/>
              </w:rPr>
            </w:pPr>
            <w:r w:rsidRPr="00AC6914">
              <w:rPr>
                <w:rFonts w:cs="Times New Roman"/>
                <w:b/>
                <w:bCs/>
                <w:sz w:val="24"/>
                <w:szCs w:val="24"/>
              </w:rPr>
              <w:t>Biện pháp xử lý nước thải khác (tự xử lý, chuyển giao)</w:t>
            </w:r>
          </w:p>
        </w:tc>
        <w:tc>
          <w:tcPr>
            <w:tcW w:w="0" w:type="auto"/>
            <w:tcBorders>
              <w:top w:val="single" w:sz="8" w:space="0" w:color="auto"/>
              <w:left w:val="nil"/>
              <w:bottom w:val="single" w:sz="8" w:space="0" w:color="auto"/>
              <w:right w:val="single" w:sz="8" w:space="0" w:color="auto"/>
              <w:tl2br w:val="nil"/>
              <w:tr2bl w:val="nil"/>
            </w:tcBorders>
            <w:shd w:val="clear" w:color="auto" w:fill="auto"/>
          </w:tcPr>
          <w:p w14:paraId="69BE74DB" w14:textId="77777777" w:rsidR="001E776C" w:rsidRPr="00AC6914" w:rsidRDefault="001E776C" w:rsidP="00AC6914">
            <w:pPr>
              <w:spacing w:before="120" w:after="120" w:line="240" w:lineRule="auto"/>
              <w:jc w:val="center"/>
              <w:rPr>
                <w:rFonts w:cs="Times New Roman"/>
                <w:sz w:val="24"/>
                <w:szCs w:val="24"/>
              </w:rPr>
            </w:pPr>
          </w:p>
        </w:tc>
      </w:tr>
      <w:tr w:rsidR="001E776C" w:rsidRPr="00AC6914" w14:paraId="16AAA87E"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606"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3314D2"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2551"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2B1DA"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KCNA</w:t>
            </w:r>
          </w:p>
        </w:tc>
        <w:tc>
          <w:tcPr>
            <w:tcW w:w="11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DD1E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Cơ sở 1</w:t>
            </w:r>
          </w:p>
        </w:tc>
        <w:tc>
          <w:tcPr>
            <w:tcW w:w="13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9B53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94729"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BBD5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CB84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77D86"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75AD1"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3D54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668FFADB"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tcPr>
          <w:p w14:paraId="2C0EA21F" w14:textId="77777777" w:rsidR="001E776C" w:rsidRPr="00AC6914" w:rsidRDefault="001E776C" w:rsidP="00AC6914">
            <w:pPr>
              <w:spacing w:before="120" w:after="120" w:line="240" w:lineRule="auto"/>
              <w:rPr>
                <w:rFonts w:cs="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tcPr>
          <w:p w14:paraId="486E4984" w14:textId="77777777" w:rsidR="001E776C" w:rsidRPr="00AC6914" w:rsidRDefault="001E776C" w:rsidP="00AC6914">
            <w:pPr>
              <w:spacing w:before="120" w:after="120" w:line="240" w:lineRule="auto"/>
              <w:rPr>
                <w:rFonts w:cs="Times New Roman"/>
                <w:sz w:val="24"/>
                <w:szCs w:val="24"/>
              </w:rPr>
            </w:pPr>
          </w:p>
        </w:tc>
        <w:tc>
          <w:tcPr>
            <w:tcW w:w="11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72704"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Cơ sở 2</w:t>
            </w:r>
          </w:p>
        </w:tc>
        <w:tc>
          <w:tcPr>
            <w:tcW w:w="13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0AB09"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E1EEE"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5862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92D9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79B87"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66C6E"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A5807"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1F8C89D0"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tcPr>
          <w:p w14:paraId="3C9781BE" w14:textId="77777777" w:rsidR="001E776C" w:rsidRPr="00AC6914" w:rsidRDefault="001E776C" w:rsidP="00AC6914">
            <w:pPr>
              <w:spacing w:before="120" w:after="120" w:line="240" w:lineRule="auto"/>
              <w:rPr>
                <w:rFonts w:cs="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tcPr>
          <w:p w14:paraId="1B593C3A" w14:textId="77777777" w:rsidR="001E776C" w:rsidRPr="00AC6914" w:rsidRDefault="001E776C" w:rsidP="00AC6914">
            <w:pPr>
              <w:spacing w:before="120" w:after="120" w:line="240" w:lineRule="auto"/>
              <w:rPr>
                <w:rFonts w:cs="Times New Roman"/>
                <w:sz w:val="24"/>
                <w:szCs w:val="24"/>
              </w:rPr>
            </w:pPr>
          </w:p>
        </w:tc>
        <w:tc>
          <w:tcPr>
            <w:tcW w:w="11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84D9E"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w:t>
            </w:r>
          </w:p>
        </w:tc>
        <w:tc>
          <w:tcPr>
            <w:tcW w:w="13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68A5A"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6845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11D02"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2B029"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D1E51"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0C1F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F32CB"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2FCE0C5C"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606"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8FB1F9"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2551"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B8D40"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KCNB</w:t>
            </w:r>
          </w:p>
        </w:tc>
        <w:tc>
          <w:tcPr>
            <w:tcW w:w="11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6AA64"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Cơ sở 1</w:t>
            </w:r>
          </w:p>
        </w:tc>
        <w:tc>
          <w:tcPr>
            <w:tcW w:w="13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3858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5BB7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6C6D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7C9F4"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B5BF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534FA"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E57E0"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676D59E2"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tcPr>
          <w:p w14:paraId="0EBCF30D" w14:textId="77777777" w:rsidR="001E776C" w:rsidRPr="00AC6914" w:rsidRDefault="001E776C" w:rsidP="00AC6914">
            <w:pPr>
              <w:spacing w:before="120" w:after="120" w:line="240" w:lineRule="auto"/>
              <w:rPr>
                <w:rFonts w:cs="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tcPr>
          <w:p w14:paraId="01C4F419" w14:textId="77777777" w:rsidR="001E776C" w:rsidRPr="00AC6914" w:rsidRDefault="001E776C" w:rsidP="00AC6914">
            <w:pPr>
              <w:spacing w:before="120" w:after="120" w:line="240" w:lineRule="auto"/>
              <w:rPr>
                <w:rFonts w:cs="Times New Roman"/>
                <w:sz w:val="24"/>
                <w:szCs w:val="24"/>
              </w:rPr>
            </w:pPr>
          </w:p>
        </w:tc>
        <w:tc>
          <w:tcPr>
            <w:tcW w:w="11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5034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Cơ sở 2</w:t>
            </w:r>
          </w:p>
        </w:tc>
        <w:tc>
          <w:tcPr>
            <w:tcW w:w="13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C7ED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B9F41"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95894"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8090D"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FDEA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ECACB"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6CB2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7870141F"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tcPr>
          <w:p w14:paraId="691E1987" w14:textId="77777777" w:rsidR="001E776C" w:rsidRPr="00AC6914" w:rsidRDefault="001E776C" w:rsidP="00AC6914">
            <w:pPr>
              <w:spacing w:before="120" w:after="120" w:line="240" w:lineRule="auto"/>
              <w:rPr>
                <w:rFonts w:cs="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tcPr>
          <w:p w14:paraId="42C6357F" w14:textId="77777777" w:rsidR="001E776C" w:rsidRPr="00AC6914" w:rsidRDefault="001E776C" w:rsidP="00AC6914">
            <w:pPr>
              <w:spacing w:before="120" w:after="120" w:line="240" w:lineRule="auto"/>
              <w:rPr>
                <w:rFonts w:cs="Times New Roman"/>
                <w:sz w:val="24"/>
                <w:szCs w:val="24"/>
              </w:rPr>
            </w:pPr>
          </w:p>
        </w:tc>
        <w:tc>
          <w:tcPr>
            <w:tcW w:w="11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F20BA"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w:t>
            </w:r>
          </w:p>
        </w:tc>
        <w:tc>
          <w:tcPr>
            <w:tcW w:w="13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7665E"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F2C72"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8D47A"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C1599"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58127"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85E3B"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3C597"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59B80F6F"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606"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C0DEB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2551"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E3E65"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KCNC</w:t>
            </w:r>
          </w:p>
        </w:tc>
        <w:tc>
          <w:tcPr>
            <w:tcW w:w="11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C9005"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Cơ sở 1</w:t>
            </w:r>
          </w:p>
        </w:tc>
        <w:tc>
          <w:tcPr>
            <w:tcW w:w="13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DD5CD"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FE5FA"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66CC1"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70626"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3B811"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96354"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470CD"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3A343638"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tcPr>
          <w:p w14:paraId="0535008D" w14:textId="77777777" w:rsidR="001E776C" w:rsidRPr="00AC6914" w:rsidRDefault="001E776C" w:rsidP="00AC6914">
            <w:pPr>
              <w:spacing w:before="120" w:after="120" w:line="240" w:lineRule="auto"/>
              <w:rPr>
                <w:rFonts w:cs="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tcPr>
          <w:p w14:paraId="5D62DD63" w14:textId="77777777" w:rsidR="001E776C" w:rsidRPr="00AC6914" w:rsidRDefault="001E776C" w:rsidP="00AC6914">
            <w:pPr>
              <w:spacing w:before="120" w:after="120" w:line="240" w:lineRule="auto"/>
              <w:rPr>
                <w:rFonts w:cs="Times New Roman"/>
                <w:sz w:val="24"/>
                <w:szCs w:val="24"/>
              </w:rPr>
            </w:pPr>
          </w:p>
        </w:tc>
        <w:tc>
          <w:tcPr>
            <w:tcW w:w="11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419B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Cơ sở 2</w:t>
            </w:r>
          </w:p>
        </w:tc>
        <w:tc>
          <w:tcPr>
            <w:tcW w:w="13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AAFB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4929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990A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EA3DE"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14FA6"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9382C"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CB18D"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78EF10C4"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nil"/>
              <w:left w:val="single" w:sz="8" w:space="0" w:color="auto"/>
              <w:bottom w:val="single" w:sz="8" w:space="0" w:color="auto"/>
              <w:right w:val="single" w:sz="8" w:space="0" w:color="auto"/>
              <w:tl2br w:val="nil"/>
              <w:tr2bl w:val="nil"/>
            </w:tcBorders>
            <w:shd w:val="clear" w:color="auto" w:fill="auto"/>
          </w:tcPr>
          <w:p w14:paraId="0010E242" w14:textId="77777777" w:rsidR="001E776C" w:rsidRPr="00AC6914" w:rsidRDefault="001E776C" w:rsidP="00AC6914">
            <w:pPr>
              <w:spacing w:before="120" w:after="120" w:line="240" w:lineRule="auto"/>
              <w:rPr>
                <w:rFonts w:cs="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tcPr>
          <w:p w14:paraId="22C49E46" w14:textId="77777777" w:rsidR="001E776C" w:rsidRPr="00AC6914" w:rsidRDefault="001E776C" w:rsidP="00AC6914">
            <w:pPr>
              <w:spacing w:before="120" w:after="120" w:line="240" w:lineRule="auto"/>
              <w:rPr>
                <w:rFonts w:cs="Times New Roman"/>
                <w:sz w:val="24"/>
                <w:szCs w:val="24"/>
              </w:rPr>
            </w:pPr>
          </w:p>
        </w:tc>
        <w:tc>
          <w:tcPr>
            <w:tcW w:w="11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8A1EB"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w:t>
            </w:r>
          </w:p>
        </w:tc>
        <w:tc>
          <w:tcPr>
            <w:tcW w:w="13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8AE94"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E477F"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9A3E9"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1F42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FE265"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D03F3"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D5126"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r w:rsidR="001E776C" w:rsidRPr="00AC6914" w14:paraId="6FB1E999" w14:textId="77777777" w:rsidTr="001E776C">
        <w:tblPrEx>
          <w:tblBorders>
            <w:top w:val="none" w:sz="0" w:space="0" w:color="auto"/>
            <w:bottom w:val="none" w:sz="0" w:space="0" w:color="auto"/>
            <w:insideH w:val="none" w:sz="0" w:space="0" w:color="auto"/>
            <w:insideV w:val="none" w:sz="0" w:space="0" w:color="auto"/>
          </w:tblBorders>
        </w:tblPrEx>
        <w:trPr>
          <w:jc w:val="center"/>
        </w:trPr>
        <w:tc>
          <w:tcPr>
            <w:tcW w:w="6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633A0D"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25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6A82A"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w:t>
            </w:r>
          </w:p>
        </w:tc>
        <w:tc>
          <w:tcPr>
            <w:tcW w:w="11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E29E0"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38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94F51"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4A134"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92C5E"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2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8023D"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4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AD42B"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A7920"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c>
          <w:tcPr>
            <w:tcW w:w="11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56BB5"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tc>
      </w:tr>
    </w:tbl>
    <w:p w14:paraId="175B93B0" w14:textId="77777777" w:rsidR="001E776C" w:rsidRPr="00AC6914" w:rsidRDefault="001E776C" w:rsidP="00AC6914">
      <w:pPr>
        <w:spacing w:before="120" w:after="120" w:line="240" w:lineRule="auto"/>
        <w:rPr>
          <w:rFonts w:cs="Times New Roman"/>
          <w:sz w:val="24"/>
          <w:szCs w:val="24"/>
        </w:rPr>
      </w:pPr>
      <w:r w:rsidRPr="00AC6914">
        <w:rPr>
          <w:rFonts w:cs="Times New Roman"/>
          <w:sz w:val="24"/>
          <w:szCs w:val="24"/>
        </w:rPr>
        <w:t> </w:t>
      </w:r>
    </w:p>
    <w:p w14:paraId="5B10CD71" w14:textId="77777777" w:rsidR="007A70D3" w:rsidRPr="00AC6914" w:rsidRDefault="007A70D3" w:rsidP="00AC6914">
      <w:pPr>
        <w:spacing w:before="120" w:after="120" w:line="240" w:lineRule="auto"/>
        <w:rPr>
          <w:rFonts w:cs="Times New Roman"/>
          <w:sz w:val="24"/>
          <w:szCs w:val="24"/>
        </w:rPr>
      </w:pPr>
    </w:p>
    <w:sectPr w:rsidR="007A70D3" w:rsidRPr="00AC6914" w:rsidSect="00C0049C">
      <w:headerReference w:type="even" r:id="rId6"/>
      <w:headerReference w:type="default" r:id="rId7"/>
      <w:footerReference w:type="even" r:id="rId8"/>
      <w:footerReference w:type="default" r:id="rId9"/>
      <w:headerReference w:type="first" r:id="rId10"/>
      <w:footerReference w:type="first" r:id="rId11"/>
      <w:pgSz w:w="9792" w:h="15840" w:code="1"/>
      <w:pgMar w:top="720" w:right="708"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B066" w14:textId="77777777" w:rsidR="00881BD2" w:rsidRDefault="00881BD2" w:rsidP="004703B8">
      <w:pPr>
        <w:spacing w:after="0" w:line="240" w:lineRule="auto"/>
      </w:pPr>
      <w:r>
        <w:separator/>
      </w:r>
    </w:p>
  </w:endnote>
  <w:endnote w:type="continuationSeparator" w:id="0">
    <w:p w14:paraId="4E144856" w14:textId="77777777" w:rsidR="00881BD2" w:rsidRDefault="00881BD2"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8506" w14:textId="77777777" w:rsidR="002A656D" w:rsidRDefault="002A6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A347" w14:textId="26F213B6" w:rsidR="004703B8" w:rsidRPr="002A656D" w:rsidRDefault="004703B8" w:rsidP="002A6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4784" w14:textId="77777777" w:rsidR="002A656D" w:rsidRDefault="002A6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BB9C" w14:textId="77777777" w:rsidR="00881BD2" w:rsidRDefault="00881BD2" w:rsidP="004703B8">
      <w:pPr>
        <w:spacing w:after="0" w:line="240" w:lineRule="auto"/>
      </w:pPr>
      <w:r>
        <w:separator/>
      </w:r>
    </w:p>
  </w:footnote>
  <w:footnote w:type="continuationSeparator" w:id="0">
    <w:p w14:paraId="0F3D5018" w14:textId="77777777" w:rsidR="00881BD2" w:rsidRDefault="00881BD2"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CD5F" w14:textId="77777777" w:rsidR="002A656D" w:rsidRDefault="002A6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E644" w14:textId="77777777" w:rsidR="002A656D" w:rsidRPr="002A656D" w:rsidRDefault="002A656D" w:rsidP="002A6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3392" w14:textId="77777777" w:rsidR="002A656D" w:rsidRDefault="002A6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57056"/>
    <w:rsid w:val="0006315C"/>
    <w:rsid w:val="000727C6"/>
    <w:rsid w:val="000833C7"/>
    <w:rsid w:val="000F68CD"/>
    <w:rsid w:val="00144416"/>
    <w:rsid w:val="001B3D18"/>
    <w:rsid w:val="001E776C"/>
    <w:rsid w:val="00233673"/>
    <w:rsid w:val="00263788"/>
    <w:rsid w:val="002A656D"/>
    <w:rsid w:val="00351DE8"/>
    <w:rsid w:val="00382205"/>
    <w:rsid w:val="003A4223"/>
    <w:rsid w:val="003D3564"/>
    <w:rsid w:val="003F3152"/>
    <w:rsid w:val="004703B8"/>
    <w:rsid w:val="0047155C"/>
    <w:rsid w:val="004B4C87"/>
    <w:rsid w:val="00514092"/>
    <w:rsid w:val="00566AFC"/>
    <w:rsid w:val="00600E4B"/>
    <w:rsid w:val="00613FB5"/>
    <w:rsid w:val="00686BDF"/>
    <w:rsid w:val="006E7533"/>
    <w:rsid w:val="0071277C"/>
    <w:rsid w:val="00720AFE"/>
    <w:rsid w:val="0072111F"/>
    <w:rsid w:val="007404AB"/>
    <w:rsid w:val="007628D0"/>
    <w:rsid w:val="007914EE"/>
    <w:rsid w:val="007A70D3"/>
    <w:rsid w:val="007C7CEA"/>
    <w:rsid w:val="00860699"/>
    <w:rsid w:val="00881BD2"/>
    <w:rsid w:val="008C33F0"/>
    <w:rsid w:val="008F3CA3"/>
    <w:rsid w:val="0096432D"/>
    <w:rsid w:val="009702D5"/>
    <w:rsid w:val="009D25DA"/>
    <w:rsid w:val="00A977CA"/>
    <w:rsid w:val="00AC1BC5"/>
    <w:rsid w:val="00AC6914"/>
    <w:rsid w:val="00AF7A61"/>
    <w:rsid w:val="00B26EEE"/>
    <w:rsid w:val="00B67127"/>
    <w:rsid w:val="00B80C46"/>
    <w:rsid w:val="00B84B1A"/>
    <w:rsid w:val="00BF68A5"/>
    <w:rsid w:val="00C0049C"/>
    <w:rsid w:val="00C0054F"/>
    <w:rsid w:val="00CA580C"/>
    <w:rsid w:val="00D569AD"/>
    <w:rsid w:val="00DB725C"/>
    <w:rsid w:val="00E123F4"/>
    <w:rsid w:val="00F16C6C"/>
    <w:rsid w:val="00F22D1F"/>
    <w:rsid w:val="00FF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12B5"/>
  <w15:docId w15:val="{EF13666A-C7E1-41CD-A2E7-16C1F717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2022-09-12T15:44:00Z</dcterms:created>
  <dcterms:modified xsi:type="dcterms:W3CDTF">2022-09-12T16:12:00Z</dcterms:modified>
</cp:coreProperties>
</file>