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032350" w14:paraId="17B2E282"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11A7B4BF" w14:textId="77777777" w:rsidR="00032350" w:rsidRDefault="00032350">
            <w:pPr>
              <w:spacing w:before="120"/>
              <w:jc w:val="center"/>
            </w:pPr>
            <w:bookmarkStart w:id="0" w:name="_GoBack"/>
            <w:bookmarkEnd w:id="0"/>
            <w:r>
              <w:rPr>
                <w:b/>
                <w:bCs/>
                <w:lang w:val="vi-VN"/>
              </w:rPr>
              <w:t>CHÍNH PHỦ</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69CDD009" w14:textId="77777777" w:rsidR="00032350" w:rsidRDefault="0003235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32350" w14:paraId="7B14301A"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44A844A8" w14:textId="77777777" w:rsidR="00032350" w:rsidRDefault="00032350">
            <w:pPr>
              <w:spacing w:before="120"/>
              <w:jc w:val="center"/>
            </w:pPr>
            <w:r>
              <w:rPr>
                <w:lang w:val="vi-VN"/>
              </w:rPr>
              <w:t>Số: 17/2016/NĐ-CP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065EBA0D" w14:textId="77777777" w:rsidR="00032350" w:rsidRDefault="00032350">
            <w:pPr>
              <w:spacing w:before="120"/>
              <w:jc w:val="right"/>
            </w:pPr>
            <w:r>
              <w:rPr>
                <w:i/>
                <w:iCs/>
                <w:lang w:val="vi-VN"/>
              </w:rPr>
              <w:t xml:space="preserve">Hà Nội, ngày </w:t>
            </w:r>
            <w:r>
              <w:rPr>
                <w:i/>
                <w:iCs/>
              </w:rPr>
              <w:t>17</w:t>
            </w:r>
            <w:r>
              <w:rPr>
                <w:i/>
                <w:iCs/>
                <w:lang w:val="vi-VN"/>
              </w:rPr>
              <w:t xml:space="preserve"> tháng 0</w:t>
            </w:r>
            <w:r>
              <w:rPr>
                <w:i/>
                <w:iCs/>
              </w:rPr>
              <w:t>3</w:t>
            </w:r>
            <w:r>
              <w:rPr>
                <w:i/>
                <w:iCs/>
                <w:lang w:val="vi-VN"/>
              </w:rPr>
              <w:t xml:space="preserve"> năm 20</w:t>
            </w:r>
            <w:r>
              <w:rPr>
                <w:i/>
                <w:iCs/>
              </w:rPr>
              <w:t>16</w:t>
            </w:r>
          </w:p>
        </w:tc>
      </w:tr>
    </w:tbl>
    <w:p w14:paraId="50865C2A" w14:textId="77777777" w:rsidR="00032350" w:rsidRDefault="00032350">
      <w:pPr>
        <w:spacing w:before="120" w:after="280" w:afterAutospacing="1"/>
      </w:pPr>
      <w:r>
        <w:rPr>
          <w:b/>
          <w:bCs/>
        </w:rPr>
        <w:t> </w:t>
      </w:r>
    </w:p>
    <w:p w14:paraId="4D8AA7E0" w14:textId="77777777" w:rsidR="00032350" w:rsidRDefault="00032350">
      <w:pPr>
        <w:spacing w:before="120" w:after="280" w:afterAutospacing="1"/>
        <w:jc w:val="center"/>
      </w:pPr>
      <w:r>
        <w:rPr>
          <w:b/>
          <w:bCs/>
          <w:lang w:val="vi-VN"/>
        </w:rPr>
        <w:t>NGHỊ ĐỊNH</w:t>
      </w:r>
    </w:p>
    <w:p w14:paraId="5B571670" w14:textId="77777777" w:rsidR="00032350" w:rsidRDefault="00032350">
      <w:pPr>
        <w:spacing w:before="120" w:after="280" w:afterAutospacing="1"/>
        <w:jc w:val="center"/>
      </w:pPr>
      <w:r>
        <w:rPr>
          <w:lang w:val="vi-VN"/>
        </w:rPr>
        <w:t>SỬA ĐỔI, BỔ SUNG MỘT SỐ ĐIỀU CỦA NGHỊ ĐỊNH SỐ 112/2013/NĐ-CP NGÀY 02 THÁNG 10 NĂM 2013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3704AD44" w14:textId="77777777" w:rsidR="00032350" w:rsidRDefault="00032350">
      <w:pPr>
        <w:spacing w:before="120" w:after="280" w:afterAutospacing="1"/>
      </w:pPr>
      <w:r>
        <w:rPr>
          <w:i/>
          <w:iCs/>
          <w:lang w:val="vi-VN"/>
        </w:rPr>
        <w:t>Căn cứ Luật Tổ chức Chính phủ ngày 19 tháng 6 năm 2015;</w:t>
      </w:r>
    </w:p>
    <w:p w14:paraId="4977D6BB" w14:textId="77777777" w:rsidR="00032350" w:rsidRDefault="00032350">
      <w:pPr>
        <w:spacing w:before="120" w:after="280" w:afterAutospacing="1"/>
      </w:pPr>
      <w:r>
        <w:rPr>
          <w:i/>
          <w:iCs/>
          <w:lang w:val="vi-VN"/>
        </w:rPr>
        <w:t xml:space="preserve">Căn cứ Luật Phòng, chống bạo </w:t>
      </w:r>
      <w:r>
        <w:rPr>
          <w:i/>
          <w:iCs/>
        </w:rPr>
        <w:t>l</w:t>
      </w:r>
      <w:r>
        <w:rPr>
          <w:i/>
          <w:iCs/>
          <w:lang w:val="vi-VN"/>
        </w:rPr>
        <w:t>ực gia đình ngày 21 tháng 11 năm 2007;</w:t>
      </w:r>
    </w:p>
    <w:p w14:paraId="15759349" w14:textId="77777777" w:rsidR="00032350" w:rsidRDefault="00032350">
      <w:pPr>
        <w:spacing w:before="120" w:after="280" w:afterAutospacing="1"/>
      </w:pPr>
      <w:r>
        <w:rPr>
          <w:i/>
          <w:iCs/>
          <w:lang w:val="vi-VN"/>
        </w:rPr>
        <w:t>Căn cứ Luật Xử lý v</w:t>
      </w:r>
      <w:proofErr w:type="spellStart"/>
      <w:r>
        <w:rPr>
          <w:i/>
          <w:iCs/>
        </w:rPr>
        <w:t>i</w:t>
      </w:r>
      <w:proofErr w:type="spellEnd"/>
      <w:r>
        <w:rPr>
          <w:i/>
          <w:iCs/>
        </w:rPr>
        <w:t xml:space="preserve"> </w:t>
      </w:r>
      <w:r>
        <w:rPr>
          <w:i/>
          <w:iCs/>
          <w:lang w:val="vi-VN"/>
        </w:rPr>
        <w:t>phạm hành ch</w:t>
      </w:r>
      <w:r>
        <w:rPr>
          <w:i/>
          <w:iCs/>
        </w:rPr>
        <w:t>í</w:t>
      </w:r>
      <w:r>
        <w:rPr>
          <w:i/>
          <w:iCs/>
          <w:lang w:val="vi-VN"/>
        </w:rPr>
        <w:t>nh ngày 20 tháng 6 năm 2012;</w:t>
      </w:r>
    </w:p>
    <w:p w14:paraId="5AA018B5" w14:textId="77777777" w:rsidR="00032350" w:rsidRDefault="00032350">
      <w:pPr>
        <w:spacing w:before="120" w:after="280" w:afterAutospacing="1"/>
      </w:pPr>
      <w:r>
        <w:rPr>
          <w:i/>
          <w:iCs/>
          <w:lang w:val="vi-VN"/>
        </w:rPr>
        <w:t>Căn cứ Luật Hải quan ngày 23 th</w:t>
      </w:r>
      <w:r>
        <w:rPr>
          <w:i/>
          <w:iCs/>
        </w:rPr>
        <w:t>á</w:t>
      </w:r>
      <w:r>
        <w:rPr>
          <w:i/>
          <w:iCs/>
          <w:lang w:val="vi-VN"/>
        </w:rPr>
        <w:t>ng 6 năm 2014;</w:t>
      </w:r>
    </w:p>
    <w:p w14:paraId="4AE0B2A4" w14:textId="77777777" w:rsidR="00032350" w:rsidRDefault="00032350">
      <w:pPr>
        <w:spacing w:before="120" w:after="280" w:afterAutospacing="1"/>
      </w:pPr>
      <w:r>
        <w:rPr>
          <w:i/>
          <w:iCs/>
          <w:lang w:val="vi-VN"/>
        </w:rPr>
        <w:t>Theo đề nghị của Bộ trưởng Bộ Công an;</w:t>
      </w:r>
    </w:p>
    <w:p w14:paraId="29322415" w14:textId="77777777" w:rsidR="00032350" w:rsidRDefault="00032350">
      <w:pPr>
        <w:spacing w:before="120" w:after="280" w:afterAutospacing="1"/>
      </w:pPr>
      <w:r>
        <w:rPr>
          <w:i/>
          <w:iCs/>
          <w:lang w:val="vi-VN"/>
        </w:rPr>
        <w:t xml:space="preserve">Chính phủ ban hành Nghị định sửa </w:t>
      </w:r>
      <w:proofErr w:type="spellStart"/>
      <w:r>
        <w:rPr>
          <w:i/>
          <w:iCs/>
        </w:rPr>
        <w:t>đổi</w:t>
      </w:r>
      <w:proofErr w:type="spellEnd"/>
      <w:r>
        <w:rPr>
          <w:i/>
          <w:iCs/>
        </w:rPr>
        <w:t xml:space="preserve">, </w:t>
      </w:r>
      <w:proofErr w:type="spellStart"/>
      <w:r>
        <w:rPr>
          <w:i/>
          <w:iCs/>
        </w:rPr>
        <w:t>bổ</w:t>
      </w:r>
      <w:proofErr w:type="spellEnd"/>
      <w:r>
        <w:rPr>
          <w:i/>
          <w:iCs/>
        </w:rPr>
        <w:t xml:space="preserve"> </w:t>
      </w:r>
      <w:r>
        <w:rPr>
          <w:i/>
          <w:iCs/>
          <w:lang w:val="vi-VN"/>
        </w:rPr>
        <w:t>sung một s</w:t>
      </w:r>
      <w:r>
        <w:rPr>
          <w:i/>
          <w:iCs/>
        </w:rPr>
        <w:t xml:space="preserve">ố </w:t>
      </w:r>
      <w:r>
        <w:rPr>
          <w:i/>
          <w:iCs/>
          <w:lang w:val="vi-VN"/>
        </w:rPr>
        <w:t xml:space="preserve">Điều của Nghị định số </w:t>
      </w:r>
      <w:r>
        <w:rPr>
          <w:i/>
          <w:iCs/>
        </w:rPr>
        <w:t>1</w:t>
      </w:r>
      <w:r>
        <w:rPr>
          <w:i/>
          <w:iCs/>
          <w:lang w:val="vi-VN"/>
        </w:rPr>
        <w:t>12/</w:t>
      </w:r>
      <w:r>
        <w:rPr>
          <w:i/>
          <w:iCs/>
        </w:rPr>
        <w:t>2013</w:t>
      </w:r>
      <w:r>
        <w:rPr>
          <w:i/>
          <w:iCs/>
          <w:lang w:val="vi-VN"/>
        </w:rPr>
        <w:t>/NĐ-CP ngày 02 tháng 10 năm 20</w:t>
      </w:r>
      <w:r>
        <w:rPr>
          <w:i/>
          <w:iCs/>
        </w:rPr>
        <w:t>1</w:t>
      </w:r>
      <w:r>
        <w:rPr>
          <w:i/>
          <w:iCs/>
          <w:lang w:val="vi-VN"/>
        </w:rPr>
        <w:t>3 quy định hình thức xử phạt trục xuất, biện pháp tạm giữ người, áp giải người vi phạm theo thủ tục hành ch</w:t>
      </w:r>
      <w:r>
        <w:rPr>
          <w:i/>
          <w:iCs/>
        </w:rPr>
        <w:t>í</w:t>
      </w:r>
      <w:r>
        <w:rPr>
          <w:i/>
          <w:iCs/>
          <w:lang w:val="vi-VN"/>
        </w:rPr>
        <w:t xml:space="preserve">nh và quản lý người nước ngoài vi phạm pháp luật Việt Nam trong thời gian </w:t>
      </w:r>
      <w:r>
        <w:rPr>
          <w:i/>
          <w:iCs/>
        </w:rPr>
        <w:t>l</w:t>
      </w:r>
      <w:r>
        <w:rPr>
          <w:i/>
          <w:iCs/>
          <w:lang w:val="vi-VN"/>
        </w:rPr>
        <w:t>àm thủ tục trục xuất.</w:t>
      </w:r>
    </w:p>
    <w:p w14:paraId="039EFFB1" w14:textId="77777777" w:rsidR="00032350" w:rsidRDefault="00032350">
      <w:pPr>
        <w:spacing w:before="120" w:after="280" w:afterAutospacing="1"/>
      </w:pPr>
      <w:r>
        <w:rPr>
          <w:b/>
          <w:bCs/>
          <w:lang w:val="vi-VN"/>
        </w:rPr>
        <w:t>Điều 1. Sửa đổi, bổ sung một số Điều của Nghị định số 112/2013/NĐ-CP ngày 02 tháng 10 năm 2013 quy định hình thức xử phạt trục xuất, biện pháp tạm giữ người, áp giải người vi phạm theo thủ tục hành chính và quản lý người nước ngoài vi phạm pháp luật Việt Nam trong thời gian làm thủ tục trục xuất (viết gọn là Nghị định số 112/2013/NĐ-CP)</w:t>
      </w:r>
    </w:p>
    <w:p w14:paraId="05C3D669" w14:textId="77777777" w:rsidR="00032350" w:rsidRDefault="00032350">
      <w:pPr>
        <w:spacing w:before="120" w:after="280" w:afterAutospacing="1"/>
      </w:pPr>
      <w:r>
        <w:rPr>
          <w:lang w:val="vi-VN"/>
        </w:rPr>
        <w:t>1. Sửa đ</w:t>
      </w:r>
      <w:r>
        <w:t>ổ</w:t>
      </w:r>
      <w:r>
        <w:rPr>
          <w:lang w:val="vi-VN"/>
        </w:rPr>
        <w:t xml:space="preserve">i, bổ sung </w:t>
      </w:r>
      <w:bookmarkStart w:id="1" w:name="dc_34"/>
      <w:r>
        <w:rPr>
          <w:lang w:val="vi-VN"/>
        </w:rPr>
        <w:t xml:space="preserve">Khoản 1 Điều 3 </w:t>
      </w:r>
      <w:bookmarkEnd w:id="1"/>
      <w:r>
        <w:rPr>
          <w:lang w:val="vi-VN"/>
        </w:rPr>
        <w:t>như sau:</w:t>
      </w:r>
    </w:p>
    <w:p w14:paraId="45053AF5" w14:textId="77777777" w:rsidR="00032350" w:rsidRDefault="00032350">
      <w:pPr>
        <w:spacing w:before="120" w:after="280" w:afterAutospacing="1"/>
      </w:pPr>
      <w:r>
        <w:rPr>
          <w:lang w:val="vi-VN"/>
        </w:rPr>
        <w:t>“1. Việc tạm giữ, áp giải người theo thủ tục hành chính và áp dụng hình thức xử phạt trục xuất phải bảo đảm đúng đ</w:t>
      </w:r>
      <w:r>
        <w:t>ố</w:t>
      </w:r>
      <w:r>
        <w:rPr>
          <w:lang w:val="vi-VN"/>
        </w:rPr>
        <w:t>i tượng, đúng thủ tục, thẩm quyền và t</w:t>
      </w:r>
      <w:proofErr w:type="spellStart"/>
      <w:r>
        <w:t>hờ</w:t>
      </w:r>
      <w:proofErr w:type="spellEnd"/>
      <w:r>
        <w:rPr>
          <w:lang w:val="vi-VN"/>
        </w:rPr>
        <w:t xml:space="preserve">i hạn quy định tại Luật Xử lý vi phạm hành chính, </w:t>
      </w:r>
      <w:bookmarkStart w:id="2" w:name="dc_1"/>
      <w:r>
        <w:rPr>
          <w:lang w:val="vi-VN"/>
        </w:rPr>
        <w:t>Điều 102 Luật Hải quan</w:t>
      </w:r>
      <w:bookmarkEnd w:id="2"/>
      <w:r>
        <w:rPr>
          <w:lang w:val="vi-VN"/>
        </w:rPr>
        <w:t>, Nghị định này và các quy định khác của pháp luật có liên quan”.</w:t>
      </w:r>
    </w:p>
    <w:p w14:paraId="74B3A769" w14:textId="77777777" w:rsidR="00032350" w:rsidRDefault="00032350">
      <w:pPr>
        <w:spacing w:before="120" w:after="280" w:afterAutospacing="1"/>
      </w:pPr>
      <w:r>
        <w:rPr>
          <w:lang w:val="vi-VN"/>
        </w:rPr>
        <w:t xml:space="preserve">2. Sửa đổi, bổ sung </w:t>
      </w:r>
      <w:bookmarkStart w:id="3" w:name="dc_35"/>
      <w:r>
        <w:rPr>
          <w:lang w:val="vi-VN"/>
        </w:rPr>
        <w:t>Điều 11</w:t>
      </w:r>
      <w:bookmarkEnd w:id="3"/>
      <w:r>
        <w:rPr>
          <w:lang w:val="vi-VN"/>
        </w:rPr>
        <w:t xml:space="preserve"> như sau:</w:t>
      </w:r>
    </w:p>
    <w:p w14:paraId="2B2A6241" w14:textId="77777777" w:rsidR="00032350" w:rsidRDefault="00032350">
      <w:pPr>
        <w:spacing w:before="120" w:after="280" w:afterAutospacing="1"/>
      </w:pPr>
      <w:r>
        <w:rPr>
          <w:b/>
          <w:bCs/>
          <w:lang w:val="vi-VN"/>
        </w:rPr>
        <w:t xml:space="preserve">“Điều 11. Tạm giữ </w:t>
      </w:r>
      <w:proofErr w:type="spellStart"/>
      <w:r>
        <w:rPr>
          <w:b/>
          <w:bCs/>
        </w:rPr>
        <w:t>người</w:t>
      </w:r>
      <w:proofErr w:type="spellEnd"/>
      <w:r>
        <w:rPr>
          <w:b/>
          <w:bCs/>
        </w:rPr>
        <w:t xml:space="preserve"> </w:t>
      </w:r>
      <w:r>
        <w:rPr>
          <w:b/>
          <w:bCs/>
          <w:lang w:val="vi-VN"/>
        </w:rPr>
        <w:t>theo thủ tục hành chính</w:t>
      </w:r>
    </w:p>
    <w:p w14:paraId="14081BE0" w14:textId="77777777" w:rsidR="00032350" w:rsidRDefault="00032350">
      <w:pPr>
        <w:spacing w:before="120" w:after="280" w:afterAutospacing="1"/>
      </w:pPr>
      <w:r>
        <w:rPr>
          <w:lang w:val="vi-VN"/>
        </w:rPr>
        <w:lastRenderedPageBreak/>
        <w:t>Việc tạm giữ người theo thủ tục hành chính chỉ được áp dụng trong các trường hợp sau:</w:t>
      </w:r>
    </w:p>
    <w:p w14:paraId="16222610" w14:textId="77777777" w:rsidR="00032350" w:rsidRDefault="00032350">
      <w:pPr>
        <w:spacing w:before="120" w:after="280" w:afterAutospacing="1"/>
      </w:pPr>
      <w:r>
        <w:rPr>
          <w:lang w:val="vi-VN"/>
        </w:rPr>
        <w:t>1. Khi cần ngăn chặn, đình chỉ ngay các hành vi sau:</w:t>
      </w:r>
    </w:p>
    <w:p w14:paraId="371AE471" w14:textId="77777777" w:rsidR="00032350" w:rsidRDefault="00032350">
      <w:pPr>
        <w:spacing w:before="120" w:after="280" w:afterAutospacing="1"/>
      </w:pPr>
      <w:r>
        <w:rPr>
          <w:lang w:val="vi-VN"/>
        </w:rPr>
        <w:t>a) Gây rối trật tự công cộng;</w:t>
      </w:r>
    </w:p>
    <w:p w14:paraId="1DBA9879" w14:textId="77777777" w:rsidR="00032350" w:rsidRDefault="00032350">
      <w:pPr>
        <w:spacing w:before="120" w:after="280" w:afterAutospacing="1"/>
      </w:pPr>
      <w:r>
        <w:rPr>
          <w:lang w:val="vi-VN"/>
        </w:rPr>
        <w:t>b) Gây thương tích cho người khác.</w:t>
      </w:r>
    </w:p>
    <w:p w14:paraId="1A781022" w14:textId="77777777" w:rsidR="00032350" w:rsidRDefault="00032350">
      <w:pPr>
        <w:spacing w:before="120" w:after="280" w:afterAutospacing="1"/>
      </w:pPr>
      <w:r>
        <w:rPr>
          <w:lang w:val="vi-VN"/>
        </w:rPr>
        <w:t>2. Khi cần ngăn chặn, đình chỉ ngay hành vi buôn lậu, vận chuyển trái phép hàng hóa qua biên giới trong các trường h</w:t>
      </w:r>
      <w:r>
        <w:t>ợ</w:t>
      </w:r>
      <w:r>
        <w:rPr>
          <w:lang w:val="vi-VN"/>
        </w:rPr>
        <w:t>p sau mà người vi phạm có dấu hiệu bỏ trốn, tiêu hủy tang vật, phương tiện vi phạm, gây cản trở việc xử lý vi phạm:</w:t>
      </w:r>
    </w:p>
    <w:p w14:paraId="0B0FA858" w14:textId="77777777" w:rsidR="00032350" w:rsidRDefault="00032350">
      <w:pPr>
        <w:spacing w:before="120" w:after="280" w:afterAutospacing="1"/>
      </w:pPr>
      <w:r>
        <w:rPr>
          <w:lang w:val="vi-VN"/>
        </w:rPr>
        <w:t>a) Xuất khẩu, nhập khẩu hàng hóa cấm xuất khẩu, nhập khẩu hoặc tạm ngừng xuất khẩu, nhập khẩu theo quy định của pháp luật;</w:t>
      </w:r>
    </w:p>
    <w:p w14:paraId="72B9F016" w14:textId="77777777" w:rsidR="00032350" w:rsidRDefault="00032350">
      <w:pPr>
        <w:spacing w:before="120" w:after="280" w:afterAutospacing="1"/>
      </w:pPr>
      <w:r>
        <w:rPr>
          <w:lang w:val="vi-VN"/>
        </w:rPr>
        <w:t>b) Xuất khẩu, nhập khẩu hàng hóa thuộc danh Mục hàng hóa xuất khẩu, nhập khẩu có Điều kiện mà không có giấy phép xuất khẩu, nhập khẩu hoặc giấy tờ của cơ quan nhà nước có thẩm quyền cấp theo quy định kèm theo hàng hóa;</w:t>
      </w:r>
    </w:p>
    <w:p w14:paraId="623C7E11" w14:textId="77777777" w:rsidR="00032350" w:rsidRDefault="00032350">
      <w:pPr>
        <w:spacing w:before="120" w:after="280" w:afterAutospacing="1"/>
      </w:pPr>
      <w:r>
        <w:rPr>
          <w:lang w:val="vi-VN"/>
        </w:rPr>
        <w:t xml:space="preserve">c) Xuất khẩu, nhập khẩu hàng hóa không đi qua cửa khẩu quy định, không làm thủ tục hải quan theo quy định của pháp luật hoặc gian </w:t>
      </w:r>
      <w:r>
        <w:t>l</w:t>
      </w:r>
      <w:r>
        <w:rPr>
          <w:lang w:val="vi-VN"/>
        </w:rPr>
        <w:t>ận số lượng, chủng loại hàng hóa khi làm thủ tục hải quan;</w:t>
      </w:r>
    </w:p>
    <w:p w14:paraId="45BD389A" w14:textId="77777777" w:rsidR="00032350" w:rsidRDefault="00032350">
      <w:pPr>
        <w:spacing w:before="120" w:after="280" w:afterAutospacing="1"/>
      </w:pPr>
      <w:r>
        <w:rPr>
          <w:lang w:val="vi-VN"/>
        </w:rPr>
        <w:t>d) Xuất khẩu, nhập khẩu hàng hóa không có hóa đơn, chứng từ kèm theo theo quy định của pháp luật hoặc có hóa đơn, chứng từ nhưng hóa đơn, chứng từ kh</w:t>
      </w:r>
      <w:r>
        <w:t>ô</w:t>
      </w:r>
      <w:r>
        <w:rPr>
          <w:lang w:val="vi-VN"/>
        </w:rPr>
        <w:t>ng hợp pháp theo quy định của pháp luật;</w:t>
      </w:r>
    </w:p>
    <w:p w14:paraId="07315167" w14:textId="77777777" w:rsidR="00032350" w:rsidRDefault="00032350">
      <w:pPr>
        <w:spacing w:before="120" w:after="280" w:afterAutospacing="1"/>
      </w:pPr>
      <w:r>
        <w:rPr>
          <w:lang w:val="vi-VN"/>
        </w:rPr>
        <w:t xml:space="preserve">đ) Nhập khẩu hàng hóa theo quy định của pháp luật phải dán tem nhập khẩu nhưng không có tem dán vào hàng hóa theo quy định của pháp </w:t>
      </w:r>
      <w:r>
        <w:t>l</w:t>
      </w:r>
      <w:r>
        <w:rPr>
          <w:lang w:val="vi-VN"/>
        </w:rPr>
        <w:t>uật hoặc có tem dán nhưng là tem giả, tem đã qua sử dụng;</w:t>
      </w:r>
    </w:p>
    <w:p w14:paraId="0A0C8DA6" w14:textId="77777777" w:rsidR="00032350" w:rsidRDefault="00032350">
      <w:pPr>
        <w:spacing w:before="120" w:after="280" w:afterAutospacing="1"/>
      </w:pPr>
      <w:r>
        <w:rPr>
          <w:lang w:val="vi-VN"/>
        </w:rPr>
        <w:t>e) Buôn bán qua biên giới hoặc từ khu phi thuế quan vào nội địa hoặc ngược lại trái quy định của pháp luật mà chưa đến mức truy cứu trách nhiệm hình sự;</w:t>
      </w:r>
    </w:p>
    <w:p w14:paraId="1EA2D9BF" w14:textId="77777777" w:rsidR="00032350" w:rsidRDefault="00032350">
      <w:pPr>
        <w:spacing w:before="120" w:after="280" w:afterAutospacing="1"/>
      </w:pPr>
      <w:r>
        <w:rPr>
          <w:lang w:val="vi-VN"/>
        </w:rPr>
        <w:t>g) Vận chuyển hàng hóa qua biên giới hoặc từ khu phi thuế quan vào nội địa hoặc ngược lại trái quy định của pháp luật;</w:t>
      </w:r>
    </w:p>
    <w:p w14:paraId="68882FF4" w14:textId="77777777" w:rsidR="00032350" w:rsidRDefault="00032350">
      <w:pPr>
        <w:spacing w:before="120" w:after="280" w:afterAutospacing="1"/>
      </w:pPr>
      <w:r>
        <w:rPr>
          <w:lang w:val="vi-VN"/>
        </w:rPr>
        <w:t>h) Các trường hợp khác theo quy định của pháp luật.</w:t>
      </w:r>
    </w:p>
    <w:p w14:paraId="4BA48CFD" w14:textId="77777777" w:rsidR="00032350" w:rsidRDefault="00032350">
      <w:pPr>
        <w:spacing w:before="120" w:after="280" w:afterAutospacing="1"/>
      </w:pPr>
      <w:r>
        <w:rPr>
          <w:lang w:val="vi-VN"/>
        </w:rPr>
        <w:t xml:space="preserve">3. Khi cần ngăn chặn, đình chỉ ngay hành vi vi phạm quy định tại </w:t>
      </w:r>
      <w:bookmarkStart w:id="4" w:name="dc_36"/>
      <w:r>
        <w:rPr>
          <w:lang w:val="vi-VN"/>
        </w:rPr>
        <w:t>Khoản 5 Điều 20 Luật Phòng, chống bạo lực gia đình</w:t>
      </w:r>
      <w:bookmarkEnd w:id="4"/>
      <w:r>
        <w:rPr>
          <w:lang w:val="vi-VN"/>
        </w:rPr>
        <w:t xml:space="preserve"> và </w:t>
      </w:r>
      <w:bookmarkStart w:id="5" w:name="dc_37"/>
      <w:r>
        <w:rPr>
          <w:lang w:val="vi-VN"/>
        </w:rPr>
        <w:t>Khoản 1 Điều 12 Nghị định số 08/2009/NĐ-CP</w:t>
      </w:r>
      <w:bookmarkEnd w:id="5"/>
      <w:r>
        <w:rPr>
          <w:lang w:val="vi-VN"/>
        </w:rPr>
        <w:t xml:space="preserve"> ngày 04 tháng 02 năm 2009 quy định chi tiết và hướng dẫn thi hành một số Điều của Luật Phòng, chống bạo lực gia đình”.</w:t>
      </w:r>
    </w:p>
    <w:p w14:paraId="02C1AE97" w14:textId="77777777" w:rsidR="00032350" w:rsidRDefault="00032350">
      <w:pPr>
        <w:spacing w:before="120" w:after="280" w:afterAutospacing="1"/>
      </w:pPr>
      <w:r>
        <w:rPr>
          <w:lang w:val="vi-VN"/>
        </w:rPr>
        <w:t xml:space="preserve">3. Sửa đổi, bổ sung </w:t>
      </w:r>
      <w:bookmarkStart w:id="6" w:name="dc_38"/>
      <w:r>
        <w:rPr>
          <w:lang w:val="vi-VN"/>
        </w:rPr>
        <w:t>Điều 12</w:t>
      </w:r>
      <w:bookmarkEnd w:id="6"/>
      <w:r>
        <w:rPr>
          <w:lang w:val="vi-VN"/>
        </w:rPr>
        <w:t xml:space="preserve"> như sau:</w:t>
      </w:r>
    </w:p>
    <w:p w14:paraId="5B5380D0" w14:textId="77777777" w:rsidR="00032350" w:rsidRDefault="00032350">
      <w:pPr>
        <w:spacing w:before="120" w:after="280" w:afterAutospacing="1"/>
      </w:pPr>
      <w:r>
        <w:rPr>
          <w:b/>
          <w:bCs/>
          <w:lang w:val="vi-VN"/>
        </w:rPr>
        <w:lastRenderedPageBreak/>
        <w:t>“Điều 12. Thẩm quyền tạm giữ người theo thủ tục hành chính</w:t>
      </w:r>
    </w:p>
    <w:p w14:paraId="2D81A0FB" w14:textId="77777777" w:rsidR="00032350" w:rsidRDefault="00032350">
      <w:pPr>
        <w:spacing w:before="120" w:after="280" w:afterAutospacing="1"/>
      </w:pPr>
      <w:r>
        <w:rPr>
          <w:lang w:val="vi-VN"/>
        </w:rPr>
        <w:t>1. Những người sau đây có thẩm quyền quyết định tạm giữ người theo thủ tục hành chính:</w:t>
      </w:r>
    </w:p>
    <w:p w14:paraId="61097980" w14:textId="77777777" w:rsidR="00032350" w:rsidRDefault="00032350">
      <w:pPr>
        <w:spacing w:before="120" w:after="280" w:afterAutospacing="1"/>
      </w:pPr>
      <w:r>
        <w:rPr>
          <w:lang w:val="vi-VN"/>
        </w:rPr>
        <w:t>a) Chủ tịch Ủy ban nhân dân cấp xã, Trưởng Công an phường;</w:t>
      </w:r>
    </w:p>
    <w:p w14:paraId="438705CE" w14:textId="77777777" w:rsidR="00032350" w:rsidRDefault="00032350">
      <w:pPr>
        <w:spacing w:before="120" w:after="280" w:afterAutospacing="1"/>
      </w:pPr>
      <w:r>
        <w:rPr>
          <w:lang w:val="vi-VN"/>
        </w:rPr>
        <w:t>b) Trưởng Công an cấp huyện;</w:t>
      </w:r>
    </w:p>
    <w:p w14:paraId="2DF695AA" w14:textId="77777777" w:rsidR="00032350" w:rsidRDefault="00032350">
      <w:pPr>
        <w:spacing w:before="120" w:after="280" w:afterAutospacing="1"/>
      </w:pPr>
      <w:r>
        <w:rPr>
          <w:lang w:val="vi-VN"/>
        </w:rPr>
        <w:t>c) Trưởng phòng Cảnh sát quản lý hành chính về trật tự xã hội, Trưởng phòng Cảnh sát trật tự, Trưởng phòng Cảnh sát giao thông đường bộ, đường s</w:t>
      </w:r>
      <w:r>
        <w:t>ắ</w:t>
      </w:r>
      <w:r>
        <w:rPr>
          <w:lang w:val="vi-VN"/>
        </w:rPr>
        <w:t>t, Trưởng phòng Cảnh sát đường thủy, Trưởng phòng Cảnh sát Điều tra tội phạm v</w:t>
      </w:r>
      <w:r>
        <w:t xml:space="preserve">ề </w:t>
      </w:r>
      <w:r>
        <w:rPr>
          <w:lang w:val="vi-VN"/>
        </w:rPr>
        <w:t>trật tự quản lý kinh t</w:t>
      </w:r>
      <w:r>
        <w:t xml:space="preserve">ế </w:t>
      </w:r>
      <w:r>
        <w:rPr>
          <w:lang w:val="vi-VN"/>
        </w:rPr>
        <w:t>và chức vụ, Trưởng phòng Cảnh sát Điều tra tội phạm v</w:t>
      </w:r>
      <w:r>
        <w:t xml:space="preserve">ề </w:t>
      </w:r>
      <w:r>
        <w:rPr>
          <w:lang w:val="vi-VN"/>
        </w:rPr>
        <w:t>trật tự xã hội, Trưởng phòng Cảnh sát Điều tra tội phạm về ma t</w:t>
      </w:r>
      <w:proofErr w:type="spellStart"/>
      <w:r>
        <w:t>úy</w:t>
      </w:r>
      <w:proofErr w:type="spellEnd"/>
      <w:r>
        <w:rPr>
          <w:lang w:val="vi-VN"/>
        </w:rPr>
        <w:t>, Trưởng phòng Quản lý xuất nhập cảnh của Công an cấp tỉnh; Trưởng phòng Cảnh sát thi hành án hình sự và hỗ trợ tư pháp, Trưởng phòng Cảnh sát phòng, chống tội phạm về môi trường;</w:t>
      </w:r>
    </w:p>
    <w:p w14:paraId="67D86ED3" w14:textId="77777777" w:rsidR="00032350" w:rsidRDefault="00032350">
      <w:pPr>
        <w:spacing w:before="120" w:after="280" w:afterAutospacing="1"/>
      </w:pPr>
      <w:r>
        <w:rPr>
          <w:lang w:val="vi-VN"/>
        </w:rPr>
        <w:t>d) Thủ trưởng đơn vị Cảnh sát cơ động từ cấp đại đội trở lên, Trạm trưởng Trạm Công an cửa khẩu;</w:t>
      </w:r>
    </w:p>
    <w:p w14:paraId="75208D36" w14:textId="77777777" w:rsidR="00032350" w:rsidRDefault="00032350">
      <w:pPr>
        <w:spacing w:before="120" w:after="280" w:afterAutospacing="1"/>
      </w:pPr>
      <w:r>
        <w:rPr>
          <w:lang w:val="vi-VN"/>
        </w:rPr>
        <w:t>đ) Hạt trưởng Hạt kiểm lâm, Đội trưởng Đội kiểm lâm cơ động;</w:t>
      </w:r>
    </w:p>
    <w:p w14:paraId="7CD6346B" w14:textId="77777777" w:rsidR="00032350" w:rsidRDefault="00032350">
      <w:pPr>
        <w:spacing w:before="120" w:after="280" w:afterAutospacing="1"/>
      </w:pPr>
      <w:r>
        <w:rPr>
          <w:lang w:val="vi-VN"/>
        </w:rPr>
        <w:t>e) Chi cục trưởng Chi cục Hải quan, Đội trưởng Đội kiểm soát thuộc Cục Hải quan, Đội trưởng Đội kiểm soát chống buôn lậu và Hải đội trưởng Hải đội kiểm soát trên biển thuộc Cục Điều tra chống buôn lậu Tổng cục hải quan;</w:t>
      </w:r>
    </w:p>
    <w:p w14:paraId="40A5EAFA" w14:textId="77777777" w:rsidR="00032350" w:rsidRDefault="00032350">
      <w:pPr>
        <w:spacing w:before="120" w:after="280" w:afterAutospacing="1"/>
      </w:pPr>
      <w:r>
        <w:rPr>
          <w:lang w:val="vi-VN"/>
        </w:rPr>
        <w:t>g) Đội trưởng Đội quản lý thị trường;</w:t>
      </w:r>
    </w:p>
    <w:p w14:paraId="38344745" w14:textId="77777777" w:rsidR="00032350" w:rsidRDefault="00032350">
      <w:pPr>
        <w:spacing w:before="120" w:after="280" w:afterAutospacing="1"/>
      </w:pPr>
      <w:r>
        <w:rPr>
          <w:lang w:val="vi-VN"/>
        </w:rPr>
        <w:t>h) Chỉ huy trưởng Tiểu khu biên phòng, Chỉ huy trưởng biên phòng Cửa khẩu cảng, Ch</w:t>
      </w:r>
      <w:r>
        <w:t xml:space="preserve">ỉ </w:t>
      </w:r>
      <w:r>
        <w:rPr>
          <w:lang w:val="vi-VN"/>
        </w:rPr>
        <w:t>huy trưởng Hải đoàn biên phòng, Chỉ huy trưởng Hải đội biên phòng, Trưởng đồn biên phòng và Thủ trưởng đơn vị bộ đội biên phòng đóng ở biên giới, hải đảo;</w:t>
      </w:r>
    </w:p>
    <w:p w14:paraId="489F02B9" w14:textId="77777777" w:rsidR="00032350" w:rsidRDefault="00032350">
      <w:pPr>
        <w:spacing w:before="120" w:after="280" w:afterAutospacing="1"/>
      </w:pPr>
      <w:r>
        <w:rPr>
          <w:lang w:val="vi-VN"/>
        </w:rPr>
        <w:t>i) Hải đội trưởng Hải đội Cảnh sát biển, Hải đoàn trưởng Hải đoàn Cảnh sát biển, Tư lệnh Vùng Cảnh sát biển;</w:t>
      </w:r>
    </w:p>
    <w:p w14:paraId="17385930" w14:textId="77777777" w:rsidR="00032350" w:rsidRDefault="00032350">
      <w:pPr>
        <w:spacing w:before="120" w:after="280" w:afterAutospacing="1"/>
      </w:pPr>
      <w:r>
        <w:rPr>
          <w:lang w:val="vi-VN"/>
        </w:rPr>
        <w:t>k) Người chỉ huy tàu bay, thuyền trưởng, trưởng tàu khi tàu bay, tàu biển, tàu hỏa đã rời sân bay, bến cảng, nhà ga;</w:t>
      </w:r>
    </w:p>
    <w:p w14:paraId="67C24214" w14:textId="77777777" w:rsidR="00032350" w:rsidRDefault="00032350">
      <w:pPr>
        <w:spacing w:before="120" w:after="280" w:afterAutospacing="1"/>
      </w:pPr>
      <w:r>
        <w:t>l</w:t>
      </w:r>
      <w:r>
        <w:rPr>
          <w:lang w:val="vi-VN"/>
        </w:rPr>
        <w:t>) Thẩm phán chủ tọa phiên tòa.</w:t>
      </w:r>
    </w:p>
    <w:p w14:paraId="226DE996" w14:textId="77777777" w:rsidR="00032350" w:rsidRDefault="00032350">
      <w:pPr>
        <w:spacing w:before="120" w:after="280" w:afterAutospacing="1"/>
      </w:pPr>
      <w:r>
        <w:rPr>
          <w:lang w:val="vi-VN"/>
        </w:rPr>
        <w:t>2. Người có thẩm quyền tạm giữ người quy định tại các Điểm từ a đến i Khoản 1 Điều này có thể giao quyền cho cấp phó. Việc giao quy</w:t>
      </w:r>
      <w:r>
        <w:t>ề</w:t>
      </w:r>
      <w:r>
        <w:rPr>
          <w:lang w:val="vi-VN"/>
        </w:rPr>
        <w:t xml:space="preserve">n chỉ được </w:t>
      </w:r>
      <w:proofErr w:type="spellStart"/>
      <w:r>
        <w:t>thực</w:t>
      </w:r>
      <w:proofErr w:type="spellEnd"/>
      <w:r>
        <w:t xml:space="preserve"> </w:t>
      </w:r>
      <w:proofErr w:type="spellStart"/>
      <w:r>
        <w:t>hiện</w:t>
      </w:r>
      <w:proofErr w:type="spellEnd"/>
      <w:r>
        <w:t xml:space="preserve"> </w:t>
      </w:r>
      <w:r>
        <w:rPr>
          <w:lang w:val="vi-VN"/>
        </w:rPr>
        <w:t>khi cấp trưởng vắng mặt và phải được th</w:t>
      </w:r>
      <w:r>
        <w:t xml:space="preserve">ể </w:t>
      </w:r>
      <w:r>
        <w:rPr>
          <w:lang w:val="vi-VN"/>
        </w:rPr>
        <w:t>hiện bằng văn bản, trong đó xác định rõ phạm vi, nội dung, thời hạn được giao quy</w:t>
      </w:r>
      <w:r>
        <w:t>ề</w:t>
      </w:r>
      <w:r>
        <w:rPr>
          <w:lang w:val="vi-VN"/>
        </w:rPr>
        <w:t>n. C</w:t>
      </w:r>
      <w:r>
        <w:t>ấ</w:t>
      </w:r>
      <w:r>
        <w:rPr>
          <w:lang w:val="vi-VN"/>
        </w:rPr>
        <w:t>p phó được giao quyền phải chịu trách nhiệm về quyết định của mình trước cấp trưởng và trước pháp luật. Người được giao quy</w:t>
      </w:r>
      <w:r>
        <w:t>ề</w:t>
      </w:r>
      <w:r>
        <w:rPr>
          <w:lang w:val="vi-VN"/>
        </w:rPr>
        <w:t xml:space="preserve">n không được giao </w:t>
      </w:r>
      <w:proofErr w:type="spellStart"/>
      <w:r>
        <w:t>quyền</w:t>
      </w:r>
      <w:proofErr w:type="spellEnd"/>
      <w:r>
        <w:rPr>
          <w:lang w:val="vi-VN"/>
        </w:rPr>
        <w:t>, ủy quy</w:t>
      </w:r>
      <w:r>
        <w:t>ề</w:t>
      </w:r>
      <w:r>
        <w:rPr>
          <w:lang w:val="vi-VN"/>
        </w:rPr>
        <w:t>n cho bất kỳ cá nhân nào khác”.</w:t>
      </w:r>
    </w:p>
    <w:p w14:paraId="6DA6DDAE" w14:textId="77777777" w:rsidR="00032350" w:rsidRDefault="00032350">
      <w:pPr>
        <w:spacing w:before="120" w:after="280" w:afterAutospacing="1"/>
      </w:pPr>
      <w:r>
        <w:rPr>
          <w:b/>
          <w:bCs/>
          <w:lang w:val="vi-VN"/>
        </w:rPr>
        <w:lastRenderedPageBreak/>
        <w:t>Điều 2. Bãi bỏ các quy định hiện hành</w:t>
      </w:r>
    </w:p>
    <w:p w14:paraId="35935346" w14:textId="77777777" w:rsidR="00032350" w:rsidRDefault="00032350">
      <w:pPr>
        <w:spacing w:before="120" w:after="280" w:afterAutospacing="1"/>
      </w:pPr>
      <w:r>
        <w:rPr>
          <w:lang w:val="vi-VN"/>
        </w:rPr>
        <w:t xml:space="preserve">Bãi bỏ các quy định tại </w:t>
      </w:r>
      <w:bookmarkStart w:id="7" w:name="dc_39"/>
      <w:r>
        <w:rPr>
          <w:lang w:val="vi-VN"/>
        </w:rPr>
        <w:t>Khoản 1 Điều 3, Điều 11, Điều 12 của Nghị định số 112/2013/NĐ-CP</w:t>
      </w:r>
      <w:bookmarkEnd w:id="7"/>
      <w:r>
        <w:rPr>
          <w:lang w:val="vi-VN"/>
        </w:rPr>
        <w:t>.</w:t>
      </w:r>
    </w:p>
    <w:p w14:paraId="6FEE7008" w14:textId="77777777" w:rsidR="00032350" w:rsidRDefault="00032350">
      <w:pPr>
        <w:spacing w:before="120" w:after="280" w:afterAutospacing="1"/>
      </w:pPr>
      <w:r>
        <w:rPr>
          <w:b/>
          <w:bCs/>
          <w:lang w:val="vi-VN"/>
        </w:rPr>
        <w:t>Điều 3. Hiệu lực thi hành</w:t>
      </w:r>
    </w:p>
    <w:p w14:paraId="294CC750" w14:textId="77777777" w:rsidR="00032350" w:rsidRDefault="00032350">
      <w:pPr>
        <w:spacing w:before="120" w:after="280" w:afterAutospacing="1"/>
      </w:pPr>
      <w:r>
        <w:rPr>
          <w:lang w:val="vi-VN"/>
        </w:rPr>
        <w:t>Nghị định này có hiệu lực thi hành từ ngày 02 tháng 5 năm 2016.</w:t>
      </w:r>
    </w:p>
    <w:p w14:paraId="01870AD4" w14:textId="77777777" w:rsidR="00032350" w:rsidRDefault="00032350">
      <w:pPr>
        <w:spacing w:before="120" w:after="280" w:afterAutospacing="1"/>
      </w:pPr>
      <w:r>
        <w:rPr>
          <w:b/>
          <w:bCs/>
          <w:lang w:val="vi-VN"/>
        </w:rPr>
        <w:t>Điều 4. Trách nhiệm thi hành</w:t>
      </w:r>
    </w:p>
    <w:p w14:paraId="34B7146C" w14:textId="77777777" w:rsidR="00032350" w:rsidRDefault="00032350">
      <w:pPr>
        <w:spacing w:before="120" w:after="280" w:afterAutospacing="1"/>
      </w:pPr>
      <w:r>
        <w:rPr>
          <w:lang w:val="vi-VN"/>
        </w:rPr>
        <w:t xml:space="preserve">Các Bộ trưởng, Thủ trưởng cơ quan ngang Bộ, Thủ trưởng cơ quan thuộc Chính phủ, Chủ tịch Ủy ban nhân dân tỉnh, thành phố trực thuộc Trung ương chịu trách nhiệm thi hành Nghị định </w:t>
      </w:r>
      <w:proofErr w:type="spellStart"/>
      <w:r>
        <w:t>này</w:t>
      </w:r>
      <w:proofErr w:type="spellEnd"/>
      <w:r>
        <w:t>./</w:t>
      </w:r>
      <w:r>
        <w:rPr>
          <w:lang w:val="vi-VN"/>
        </w:rPr>
        <w:t>.</w:t>
      </w:r>
    </w:p>
    <w:p w14:paraId="6E974FEB" w14:textId="77777777" w:rsidR="00032350" w:rsidRDefault="0003235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4020"/>
      </w:tblGrid>
      <w:tr w:rsidR="00032350" w14:paraId="2B02244E"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DE1EA29" w14:textId="77777777" w:rsidR="00032350" w:rsidRDefault="00032350">
            <w:pPr>
              <w:spacing w:before="120" w:after="280" w:afterAutospacing="1"/>
            </w:pPr>
            <w:r>
              <w:rPr>
                <w:sz w:val="16"/>
              </w:rPr>
              <w:t> </w:t>
            </w:r>
          </w:p>
          <w:p w14:paraId="1EE10BD3" w14:textId="77777777" w:rsidR="00032350" w:rsidRDefault="0003235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w:t>
            </w:r>
            <w:r>
              <w:rPr>
                <w:sz w:val="16"/>
              </w:rPr>
              <w:t>ớ</w:t>
            </w:r>
            <w:r>
              <w:rPr>
                <w:sz w:val="16"/>
                <w:lang w:val="vi-VN"/>
              </w:rPr>
              <w:t>ng Chính phủ;</w:t>
            </w:r>
            <w:r>
              <w:rPr>
                <w:sz w:val="16"/>
                <w:lang w:val="vi-VN"/>
              </w:rPr>
              <w:br/>
              <w:t>- Các Bộ, cơ quan ngang Bộ, cơ quan thuộc Chính phủ;</w:t>
            </w:r>
            <w:r>
              <w:rPr>
                <w:sz w:val="16"/>
                <w:lang w:val="vi-VN"/>
              </w:rPr>
              <w:br/>
              <w:t xml:space="preserve">- HĐND, </w:t>
            </w:r>
            <w:r>
              <w:rPr>
                <w:sz w:val="16"/>
              </w:rPr>
              <w:t>U</w:t>
            </w:r>
            <w:r>
              <w:rPr>
                <w:sz w:val="16"/>
                <w:lang w:val="vi-VN"/>
              </w:rPr>
              <w:t>BND các tỉnh, thành ph</w:t>
            </w:r>
            <w:r>
              <w:rPr>
                <w:sz w:val="16"/>
              </w:rPr>
              <w:t>ố</w:t>
            </w:r>
            <w:r>
              <w:rPr>
                <w:sz w:val="16"/>
                <w:lang w:val="vi-VN"/>
              </w:rPr>
              <w:t xml:space="preserve"> tr</w:t>
            </w:r>
            <w:r>
              <w:rPr>
                <w:sz w:val="16"/>
              </w:rPr>
              <w:t>ự</w:t>
            </w:r>
            <w:r>
              <w:rPr>
                <w:sz w:val="16"/>
                <w:lang w:val="vi-VN"/>
              </w:rPr>
              <w:t>c thuộc Trung ương;</w:t>
            </w:r>
            <w:r>
              <w:rPr>
                <w:sz w:val="16"/>
                <w:lang w:val="vi-VN"/>
              </w:rPr>
              <w:br/>
              <w:t>- V</w:t>
            </w:r>
            <w:r>
              <w:rPr>
                <w:sz w:val="16"/>
              </w:rPr>
              <w:t>ă</w:t>
            </w:r>
            <w:r>
              <w:rPr>
                <w:sz w:val="16"/>
                <w:lang w:val="vi-VN"/>
              </w:rPr>
              <w:t>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w:t>
            </w:r>
            <w:r>
              <w:rPr>
                <w:sz w:val="16"/>
              </w:rPr>
              <w:t>ố</w:t>
            </w:r>
            <w:r>
              <w:rPr>
                <w:sz w:val="16"/>
                <w:lang w:val="vi-VN"/>
              </w:rPr>
              <w:t>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w:t>
            </w:r>
            <w:r>
              <w:rPr>
                <w:sz w:val="16"/>
              </w:rPr>
              <w:t xml:space="preserve">, </w:t>
            </w:r>
            <w:r>
              <w:rPr>
                <w:sz w:val="16"/>
                <w:lang w:val="vi-VN"/>
              </w:rPr>
              <w:t>các PCN, Trợ lý TTg, TGĐ Cổng TTĐT, các Vụ, Cục, đơn vị trực thuộc, Công báo;</w:t>
            </w:r>
            <w:r>
              <w:rPr>
                <w:sz w:val="16"/>
                <w:lang w:val="vi-VN"/>
              </w:rPr>
              <w:br/>
              <w:t>- Lưu:</w:t>
            </w:r>
            <w:r>
              <w:rPr>
                <w:sz w:val="16"/>
              </w:rPr>
              <w:t xml:space="preserve"> V</w:t>
            </w:r>
            <w:r>
              <w:rPr>
                <w:sz w:val="16"/>
                <w:lang w:val="vi-VN"/>
              </w:rPr>
              <w:t>T, NC (3b).</w:t>
            </w:r>
          </w:p>
        </w:tc>
        <w:tc>
          <w:tcPr>
            <w:tcW w:w="4020" w:type="dxa"/>
            <w:tcBorders>
              <w:top w:val="nil"/>
              <w:left w:val="nil"/>
              <w:bottom w:val="nil"/>
              <w:right w:val="nil"/>
              <w:tl2br w:val="nil"/>
              <w:tr2bl w:val="nil"/>
            </w:tcBorders>
            <w:shd w:val="clear" w:color="auto" w:fill="auto"/>
            <w:tcMar>
              <w:top w:w="0" w:type="dxa"/>
              <w:left w:w="108" w:type="dxa"/>
              <w:bottom w:w="0" w:type="dxa"/>
              <w:right w:w="108" w:type="dxa"/>
            </w:tcMar>
          </w:tcPr>
          <w:p w14:paraId="3A8F6AD4" w14:textId="77777777" w:rsidR="00032350" w:rsidRDefault="00032350">
            <w:pPr>
              <w:spacing w:before="120"/>
              <w:jc w:val="center"/>
            </w:pPr>
            <w:r>
              <w:rPr>
                <w:b/>
                <w:bCs/>
              </w:rPr>
              <w:t>TM. CHÍNH PHỦ</w:t>
            </w:r>
            <w:r>
              <w:rPr>
                <w:b/>
                <w:bCs/>
              </w:rPr>
              <w:br/>
              <w:t>THỦ TƯỚNG</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Tấn</w:t>
            </w:r>
            <w:proofErr w:type="spellEnd"/>
            <w:r>
              <w:rPr>
                <w:b/>
                <w:bCs/>
              </w:rPr>
              <w:t xml:space="preserve"> </w:t>
            </w:r>
            <w:proofErr w:type="spellStart"/>
            <w:r>
              <w:rPr>
                <w:b/>
                <w:bCs/>
              </w:rPr>
              <w:t>Dũng</w:t>
            </w:r>
            <w:proofErr w:type="spellEnd"/>
          </w:p>
        </w:tc>
      </w:tr>
    </w:tbl>
    <w:p w14:paraId="0C377D49" w14:textId="77777777" w:rsidR="00032350" w:rsidRDefault="00032350">
      <w:pPr>
        <w:spacing w:before="120" w:after="280" w:afterAutospacing="1"/>
      </w:pPr>
      <w:r>
        <w:rPr>
          <w:b/>
          <w:bCs/>
        </w:rPr>
        <w:t> </w:t>
      </w:r>
    </w:p>
    <w:sectPr w:rsidR="000323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3D"/>
    <w:rsid w:val="00032350"/>
    <w:rsid w:val="000A1B1B"/>
    <w:rsid w:val="00473A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A6134"/>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6115</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7173</CharactersWithSpaces>
  <SharedDoc>false</SharedDoc>
  <HyperlinkBase>http://vanbanphapluat.co/nghi-dinh-17-2016-nd-cp-sua-doi-112-2013-nd-cp-truc-xuat-tam-giu-ap-giai-nguoi-nuoc-ngoai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2022-08-01T02:43:00Z</dcterms:created>
  <dcterms:modified xsi:type="dcterms:W3CDTF">2022-08-01T02:43:00Z</dcterms:modified>
</cp:coreProperties>
</file>