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7D26" w:rsidRPr="00007D26" w:rsidRDefault="00007D26" w:rsidP="00007D26">
      <w:pPr>
        <w:adjustRightInd w:val="0"/>
        <w:snapToGrid w:val="0"/>
        <w:spacing w:before="120" w:after="120" w:line="240" w:lineRule="auto"/>
        <w:jc w:val="center"/>
        <w:rPr>
          <w:rFonts w:cs="Times New Roman"/>
          <w:sz w:val="24"/>
          <w:szCs w:val="24"/>
        </w:rPr>
      </w:pPr>
      <w:bookmarkStart w:id="0" w:name="chuong_phuluc_2"/>
      <w:r w:rsidRPr="00007D26">
        <w:rPr>
          <w:rFonts w:cs="Times New Roman"/>
          <w:b/>
          <w:bCs/>
          <w:sz w:val="24"/>
          <w:szCs w:val="24"/>
        </w:rPr>
        <w:t>PHỤ LỤC 2</w:t>
      </w:r>
    </w:p>
    <w:p w:rsidR="00007D26" w:rsidRPr="00007D26" w:rsidRDefault="00007D26" w:rsidP="00007D26">
      <w:pPr>
        <w:adjustRightInd w:val="0"/>
        <w:snapToGrid w:val="0"/>
        <w:spacing w:before="120" w:after="120" w:line="240" w:lineRule="auto"/>
        <w:jc w:val="center"/>
        <w:rPr>
          <w:rFonts w:cs="Times New Roman"/>
          <w:sz w:val="24"/>
          <w:szCs w:val="24"/>
        </w:rPr>
      </w:pPr>
      <w:bookmarkStart w:id="1" w:name="chuong_phuluc_2_name"/>
      <w:bookmarkEnd w:id="0"/>
      <w:r w:rsidRPr="00007D26">
        <w:rPr>
          <w:rFonts w:cs="Times New Roman"/>
          <w:sz w:val="24"/>
          <w:szCs w:val="24"/>
        </w:rPr>
        <w:t>MẪU ĐỀ XUẤT PHƯƠNG PHÁP LUẬN</w:t>
      </w:r>
      <w:bookmarkEnd w:id="1"/>
      <w:r w:rsidRPr="00007D26">
        <w:rPr>
          <w:rFonts w:cs="Times New Roman"/>
          <w:sz w:val="24"/>
          <w:szCs w:val="24"/>
        </w:rPr>
        <w:br/>
      </w:r>
      <w:r w:rsidRPr="00007D26">
        <w:rPr>
          <w:rFonts w:cs="Times New Roman"/>
          <w:i/>
          <w:iCs/>
          <w:sz w:val="24"/>
          <w:szCs w:val="24"/>
        </w:rPr>
        <w:t>(Kèm theo Thông tư số 17/2015/TT-BTNMT ngày 06 tháng 4 năm 2015 của Bộ trưởng Bộ Tài nguyên và Môi trường)</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Tờ bìa Mẫu đề xuất phương pháp luận</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Mẫu đệ trình đề xuất phương pháp luận</w:t>
      </w:r>
    </w:p>
    <w:tbl>
      <w:tblPr>
        <w:tblW w:w="5000" w:type="pct"/>
        <w:jc w:val="center"/>
        <w:tblCellMar>
          <w:left w:w="0" w:type="dxa"/>
          <w:right w:w="0" w:type="dxa"/>
        </w:tblCellMar>
        <w:tblLook w:val="04A0" w:firstRow="1" w:lastRow="0" w:firstColumn="1" w:lastColumn="0" w:noHBand="0" w:noVBand="1"/>
      </w:tblPr>
      <w:tblGrid>
        <w:gridCol w:w="4040"/>
        <w:gridCol w:w="4480"/>
      </w:tblGrid>
      <w:tr w:rsidR="00007D26" w:rsidRPr="00007D26" w:rsidTr="00007D26">
        <w:trPr>
          <w:jc w:val="center"/>
        </w:trPr>
        <w:tc>
          <w:tcPr>
            <w:tcW w:w="4204" w:type="dxa"/>
            <w:tcBorders>
              <w:top w:val="single" w:sz="8" w:space="0" w:color="auto"/>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Nước chủ nhà</w:t>
            </w:r>
          </w:p>
        </w:tc>
        <w:tc>
          <w:tcPr>
            <w:tcW w:w="4652"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CHXHCN Việt Nam</w:t>
            </w:r>
          </w:p>
        </w:tc>
      </w:tr>
      <w:tr w:rsidR="00007D26" w:rsidRPr="00007D26" w:rsidTr="00007D26">
        <w:trPr>
          <w:jc w:val="center"/>
        </w:trPr>
        <w:tc>
          <w:tcPr>
            <w:tcW w:w="4204"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Tên gọi bên đề xuất phương pháp luận đệ trình mẫu này</w:t>
            </w:r>
          </w:p>
        </w:tc>
        <w:tc>
          <w:tcPr>
            <w:tcW w:w="4652"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4204"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Phạm vi ngành sẽ áp dụng phương pháp luận được đề xuất</w:t>
            </w:r>
          </w:p>
        </w:tc>
        <w:tc>
          <w:tcPr>
            <w:tcW w:w="4652"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4204"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Tên của phương pháp luận được đề xuất và số phiên bản</w:t>
            </w:r>
          </w:p>
        </w:tc>
        <w:tc>
          <w:tcPr>
            <w:tcW w:w="4652"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4204"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Danh mục các tài liệu gửi kèm:</w:t>
            </w:r>
          </w:p>
        </w:tc>
        <w:tc>
          <w:tcPr>
            <w:tcW w:w="4652"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Dự thảo PDD theo Cơ chế JCM đính kèm:</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Thông tin bổ sung</w:t>
            </w:r>
          </w:p>
        </w:tc>
      </w:tr>
      <w:tr w:rsidR="00007D26" w:rsidRPr="00007D26" w:rsidTr="00007D26">
        <w:trPr>
          <w:jc w:val="center"/>
        </w:trPr>
        <w:tc>
          <w:tcPr>
            <w:tcW w:w="4204"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Ngày hoàn thành</w:t>
            </w:r>
          </w:p>
        </w:tc>
        <w:tc>
          <w:tcPr>
            <w:tcW w:w="4652"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Lịch sử phương pháp luận được đề xuất</w:t>
      </w:r>
    </w:p>
    <w:tbl>
      <w:tblPr>
        <w:tblW w:w="5000" w:type="pct"/>
        <w:jc w:val="center"/>
        <w:tblCellMar>
          <w:left w:w="0" w:type="dxa"/>
          <w:right w:w="0" w:type="dxa"/>
        </w:tblCellMar>
        <w:tblLook w:val="04A0" w:firstRow="1" w:lastRow="0" w:firstColumn="1" w:lastColumn="0" w:noHBand="0" w:noVBand="1"/>
      </w:tblPr>
      <w:tblGrid>
        <w:gridCol w:w="1228"/>
        <w:gridCol w:w="1681"/>
        <w:gridCol w:w="5611"/>
      </w:tblGrid>
      <w:tr w:rsidR="00007D26" w:rsidRPr="00007D26" w:rsidTr="00007D26">
        <w:trPr>
          <w:jc w:val="center"/>
        </w:trPr>
        <w:tc>
          <w:tcPr>
            <w:tcW w:w="1261" w:type="dxa"/>
            <w:tcBorders>
              <w:top w:val="single" w:sz="8" w:space="0" w:color="auto"/>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Phiên bản</w:t>
            </w:r>
          </w:p>
        </w:tc>
        <w:tc>
          <w:tcPr>
            <w:tcW w:w="1736" w:type="dxa"/>
            <w:tcBorders>
              <w:top w:val="single" w:sz="8" w:space="0" w:color="auto"/>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Ngày</w:t>
            </w:r>
          </w:p>
        </w:tc>
        <w:tc>
          <w:tcPr>
            <w:tcW w:w="5859" w:type="dxa"/>
            <w:tcBorders>
              <w:top w:val="single" w:sz="8" w:space="0" w:color="auto"/>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Nội dung sửa đổi</w:t>
            </w:r>
          </w:p>
        </w:tc>
      </w:tr>
      <w:tr w:rsidR="00007D26" w:rsidRPr="00007D26" w:rsidTr="00007D26">
        <w:trPr>
          <w:jc w:val="center"/>
        </w:trPr>
        <w:tc>
          <w:tcPr>
            <w:tcW w:w="1261"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1736"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585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1261"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1736"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585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1261"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1736"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585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A. Tiêu đề phương pháp luận</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B. Thuật ngữ và định nghĩa</w:t>
      </w:r>
    </w:p>
    <w:tbl>
      <w:tblPr>
        <w:tblW w:w="5000" w:type="pct"/>
        <w:jc w:val="center"/>
        <w:tblCellMar>
          <w:left w:w="0" w:type="dxa"/>
          <w:right w:w="0" w:type="dxa"/>
        </w:tblCellMar>
        <w:tblLook w:val="04A0" w:firstRow="1" w:lastRow="0" w:firstColumn="1" w:lastColumn="0" w:noHBand="0" w:noVBand="1"/>
      </w:tblPr>
      <w:tblGrid>
        <w:gridCol w:w="3006"/>
        <w:gridCol w:w="5514"/>
      </w:tblGrid>
      <w:tr w:rsidR="00007D26" w:rsidRPr="00007D26" w:rsidTr="00007D26">
        <w:trPr>
          <w:jc w:val="center"/>
        </w:trPr>
        <w:tc>
          <w:tcPr>
            <w:tcW w:w="3116" w:type="dxa"/>
            <w:tcBorders>
              <w:top w:val="single" w:sz="8" w:space="0" w:color="auto"/>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Thuật ngữ</w:t>
            </w:r>
          </w:p>
        </w:tc>
        <w:tc>
          <w:tcPr>
            <w:tcW w:w="5740" w:type="dxa"/>
            <w:tcBorders>
              <w:top w:val="single" w:sz="8" w:space="0" w:color="auto"/>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Định nghĩa</w:t>
            </w:r>
          </w:p>
        </w:tc>
      </w:tr>
      <w:tr w:rsidR="00007D26" w:rsidRPr="00007D26" w:rsidTr="00007D26">
        <w:trPr>
          <w:jc w:val="center"/>
        </w:trPr>
        <w:tc>
          <w:tcPr>
            <w:tcW w:w="3116"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lastRenderedPageBreak/>
              <w:t> </w:t>
            </w:r>
          </w:p>
        </w:tc>
        <w:tc>
          <w:tcPr>
            <w:tcW w:w="5740"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C. Tóm tắt nội dung phương pháp luận</w:t>
      </w:r>
    </w:p>
    <w:tbl>
      <w:tblPr>
        <w:tblW w:w="5000" w:type="pct"/>
        <w:jc w:val="center"/>
        <w:tblCellMar>
          <w:left w:w="0" w:type="dxa"/>
          <w:right w:w="0" w:type="dxa"/>
        </w:tblCellMar>
        <w:tblLook w:val="04A0" w:firstRow="1" w:lastRow="0" w:firstColumn="1" w:lastColumn="0" w:noHBand="0" w:noVBand="1"/>
      </w:tblPr>
      <w:tblGrid>
        <w:gridCol w:w="3353"/>
        <w:gridCol w:w="5167"/>
      </w:tblGrid>
      <w:tr w:rsidR="00007D26" w:rsidRPr="00007D26" w:rsidTr="00007D26">
        <w:trPr>
          <w:jc w:val="center"/>
        </w:trPr>
        <w:tc>
          <w:tcPr>
            <w:tcW w:w="3478" w:type="dxa"/>
            <w:tcBorders>
              <w:top w:val="single" w:sz="8" w:space="0" w:color="auto"/>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Đề mục</w:t>
            </w:r>
          </w:p>
        </w:tc>
        <w:tc>
          <w:tcPr>
            <w:tcW w:w="5378"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Nội dung tóm tắt</w:t>
            </w:r>
          </w:p>
        </w:tc>
      </w:tr>
      <w:tr w:rsidR="00007D26" w:rsidRPr="00007D26" w:rsidTr="00007D26">
        <w:trPr>
          <w:jc w:val="center"/>
        </w:trPr>
        <w:tc>
          <w:tcPr>
            <w:tcW w:w="3478"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i/>
                <w:iCs/>
                <w:sz w:val="24"/>
                <w:szCs w:val="24"/>
              </w:rPr>
              <w:t>Các biện pháp giảm phát thải KNK</w:t>
            </w:r>
          </w:p>
        </w:tc>
        <w:tc>
          <w:tcPr>
            <w:tcW w:w="5378"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3478"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i/>
                <w:iCs/>
                <w:sz w:val="24"/>
                <w:szCs w:val="24"/>
              </w:rPr>
              <w:t>Tính toán lượng phát thải tham chiếu</w:t>
            </w:r>
          </w:p>
        </w:tc>
        <w:tc>
          <w:tcPr>
            <w:tcW w:w="5378"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3478"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i/>
                <w:iCs/>
                <w:sz w:val="24"/>
                <w:szCs w:val="24"/>
              </w:rPr>
              <w:t xml:space="preserve">Tính toán lượng phát thải </w:t>
            </w:r>
            <w:r w:rsidRPr="00007D26">
              <w:rPr>
                <w:rFonts w:cs="Times New Roman"/>
                <w:i/>
                <w:iCs/>
                <w:sz w:val="24"/>
                <w:szCs w:val="24"/>
                <w:shd w:val="clear" w:color="auto" w:fill="FFFFFF"/>
              </w:rPr>
              <w:t>của</w:t>
            </w:r>
            <w:r w:rsidRPr="00007D26">
              <w:rPr>
                <w:rFonts w:cs="Times New Roman"/>
                <w:i/>
                <w:iCs/>
                <w:sz w:val="24"/>
                <w:szCs w:val="24"/>
              </w:rPr>
              <w:t xml:space="preserve"> dự án</w:t>
            </w:r>
          </w:p>
        </w:tc>
        <w:tc>
          <w:tcPr>
            <w:tcW w:w="5378"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3478"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i/>
                <w:iCs/>
                <w:sz w:val="24"/>
                <w:szCs w:val="24"/>
              </w:rPr>
              <w:t>Các thông số giám sát</w:t>
            </w:r>
          </w:p>
        </w:tc>
        <w:tc>
          <w:tcPr>
            <w:tcW w:w="5378"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bl>
      <w:tblPr>
        <w:tblW w:w="5000" w:type="pct"/>
        <w:jc w:val="center"/>
        <w:tblCellMar>
          <w:left w:w="0" w:type="dxa"/>
          <w:right w:w="0" w:type="dxa"/>
        </w:tblCellMar>
        <w:tblLook w:val="04A0" w:firstRow="1" w:lastRow="0" w:firstColumn="1" w:lastColumn="0" w:noHBand="0" w:noVBand="1"/>
      </w:tblPr>
      <w:tblGrid>
        <w:gridCol w:w="8520"/>
      </w:tblGrid>
      <w:tr w:rsidR="00007D26" w:rsidRPr="00007D26" w:rsidTr="00007D26">
        <w:trPr>
          <w:jc w:val="center"/>
        </w:trPr>
        <w:tc>
          <w:tcPr>
            <w:tcW w:w="8856" w:type="dxa"/>
            <w:tcBorders>
              <w:top w:val="single" w:sz="8" w:space="0" w:color="auto"/>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i/>
                <w:iCs/>
                <w:sz w:val="24"/>
                <w:szCs w:val="24"/>
              </w:rPr>
              <w:t xml:space="preserve">• Đề nghị tóm tắt nội dung của các yếu tố chính </w:t>
            </w:r>
            <w:r w:rsidRPr="00007D26">
              <w:rPr>
                <w:rFonts w:cs="Times New Roman"/>
                <w:i/>
                <w:iCs/>
                <w:sz w:val="24"/>
                <w:szCs w:val="24"/>
                <w:shd w:val="clear" w:color="auto" w:fill="FFFFFF"/>
              </w:rPr>
              <w:t>của</w:t>
            </w:r>
            <w:r w:rsidRPr="00007D26">
              <w:rPr>
                <w:rFonts w:cs="Times New Roman"/>
                <w:i/>
                <w:iCs/>
                <w:sz w:val="24"/>
                <w:szCs w:val="24"/>
              </w:rPr>
              <w:t xml:space="preserve"> phương pháp luận được đề xuất, bao gồm phần mô tả tóm lược về:</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i/>
                <w:iCs/>
                <w:sz w:val="24"/>
                <w:szCs w:val="24"/>
              </w:rPr>
              <w:t>            • Các biện pháp giảm phát thải KNK;</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i/>
                <w:iCs/>
                <w:sz w:val="24"/>
                <w:szCs w:val="24"/>
              </w:rPr>
              <w:t>            • Phương pháp luận được đề xuất tính toán lượng phát thải tham chiếu như thế nào;</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i/>
                <w:iCs/>
                <w:sz w:val="24"/>
                <w:szCs w:val="24"/>
              </w:rPr>
              <w:t>            • Phương pháp luận được đề xuất tính toán lượng phát thải của dự án như thế nào;</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i/>
                <w:iCs/>
                <w:sz w:val="24"/>
                <w:szCs w:val="24"/>
              </w:rPr>
              <w:t>            • Các thông số và phương pháp giám sát chính.</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 xml:space="preserve">D. Các tiêu chí về tính </w:t>
      </w:r>
      <w:r w:rsidRPr="00007D26">
        <w:rPr>
          <w:rFonts w:cs="Times New Roman"/>
          <w:b/>
          <w:bCs/>
          <w:sz w:val="24"/>
          <w:szCs w:val="24"/>
          <w:shd w:val="clear" w:color="auto" w:fill="FFFFFF"/>
        </w:rPr>
        <w:t>phù hợp</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Phương pháp luận này được áp dụng đối với các dự án đáp ứng được tất cả các tiêu chí sau:</w:t>
      </w:r>
    </w:p>
    <w:tbl>
      <w:tblPr>
        <w:tblW w:w="5000" w:type="pct"/>
        <w:jc w:val="center"/>
        <w:tblCellMar>
          <w:left w:w="0" w:type="dxa"/>
          <w:right w:w="0" w:type="dxa"/>
        </w:tblCellMar>
        <w:tblLook w:val="04A0" w:firstRow="1" w:lastRow="0" w:firstColumn="1" w:lastColumn="0" w:noHBand="0" w:noVBand="1"/>
      </w:tblPr>
      <w:tblGrid>
        <w:gridCol w:w="1350"/>
        <w:gridCol w:w="7170"/>
      </w:tblGrid>
      <w:tr w:rsidR="00007D26" w:rsidRPr="00007D26" w:rsidTr="00007D26">
        <w:trPr>
          <w:jc w:val="center"/>
        </w:trPr>
        <w:tc>
          <w:tcPr>
            <w:tcW w:w="1387" w:type="dxa"/>
            <w:tcBorders>
              <w:top w:val="single" w:sz="8" w:space="0" w:color="auto"/>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Tiêu chí 1</w:t>
            </w:r>
          </w:p>
        </w:tc>
        <w:tc>
          <w:tcPr>
            <w:tcW w:w="7469"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1387"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Tiêu chí 2</w:t>
            </w:r>
          </w:p>
        </w:tc>
        <w:tc>
          <w:tcPr>
            <w:tcW w:w="7469"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1387"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Tiêu chí 3</w:t>
            </w:r>
          </w:p>
        </w:tc>
        <w:tc>
          <w:tcPr>
            <w:tcW w:w="7469"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E. Các nguồn phát thải và các dạng KNK</w:t>
      </w:r>
    </w:p>
    <w:tbl>
      <w:tblPr>
        <w:tblW w:w="5000" w:type="pct"/>
        <w:jc w:val="center"/>
        <w:tblCellMar>
          <w:left w:w="0" w:type="dxa"/>
          <w:right w:w="0" w:type="dxa"/>
        </w:tblCellMar>
        <w:tblLook w:val="04A0" w:firstRow="1" w:lastRow="0" w:firstColumn="1" w:lastColumn="0" w:noHBand="0" w:noVBand="1"/>
      </w:tblPr>
      <w:tblGrid>
        <w:gridCol w:w="6472"/>
        <w:gridCol w:w="2048"/>
      </w:tblGrid>
      <w:tr w:rsidR="00007D26" w:rsidRPr="00007D26" w:rsidTr="00007D26">
        <w:trPr>
          <w:jc w:val="center"/>
        </w:trPr>
        <w:tc>
          <w:tcPr>
            <w:tcW w:w="8856" w:type="dxa"/>
            <w:gridSpan w:val="2"/>
            <w:tcBorders>
              <w:top w:val="single" w:sz="8" w:space="0" w:color="auto"/>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Lượng phát thải tham chiếu</w:t>
            </w:r>
          </w:p>
        </w:tc>
      </w:tr>
      <w:tr w:rsidR="00007D26" w:rsidRPr="00007D26" w:rsidTr="00007D26">
        <w:trPr>
          <w:jc w:val="center"/>
        </w:trPr>
        <w:tc>
          <w:tcPr>
            <w:tcW w:w="6739"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Các nguồn phát thải</w:t>
            </w:r>
          </w:p>
        </w:tc>
        <w:tc>
          <w:tcPr>
            <w:tcW w:w="2117"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Loại KNK</w:t>
            </w:r>
          </w:p>
        </w:tc>
      </w:tr>
      <w:tr w:rsidR="00007D26" w:rsidRPr="00007D26" w:rsidTr="00007D26">
        <w:trPr>
          <w:jc w:val="center"/>
        </w:trPr>
        <w:tc>
          <w:tcPr>
            <w:tcW w:w="6739"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c>
          <w:tcPr>
            <w:tcW w:w="2117"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6739"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c>
          <w:tcPr>
            <w:tcW w:w="2117"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6739"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c>
          <w:tcPr>
            <w:tcW w:w="2117"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6739"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c>
          <w:tcPr>
            <w:tcW w:w="2117"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6739"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c>
          <w:tcPr>
            <w:tcW w:w="2117"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6739"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c>
          <w:tcPr>
            <w:tcW w:w="2117"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6739"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c>
          <w:tcPr>
            <w:tcW w:w="2117"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8856" w:type="dxa"/>
            <w:gridSpan w:val="2"/>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Lượng phát thải của dự án</w:t>
            </w:r>
          </w:p>
        </w:tc>
      </w:tr>
      <w:tr w:rsidR="00007D26" w:rsidRPr="00007D26" w:rsidTr="00007D26">
        <w:trPr>
          <w:jc w:val="center"/>
        </w:trPr>
        <w:tc>
          <w:tcPr>
            <w:tcW w:w="6739"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Các nguồn phát thải</w:t>
            </w:r>
          </w:p>
        </w:tc>
        <w:tc>
          <w:tcPr>
            <w:tcW w:w="2117"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Loại KNK</w:t>
            </w:r>
          </w:p>
        </w:tc>
      </w:tr>
      <w:tr w:rsidR="00007D26" w:rsidRPr="00007D26" w:rsidTr="00007D26">
        <w:trPr>
          <w:jc w:val="center"/>
        </w:trPr>
        <w:tc>
          <w:tcPr>
            <w:tcW w:w="6739"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c>
          <w:tcPr>
            <w:tcW w:w="2117"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6739"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c>
          <w:tcPr>
            <w:tcW w:w="2117"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6739"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c>
          <w:tcPr>
            <w:tcW w:w="2117"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6739"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c>
          <w:tcPr>
            <w:tcW w:w="2117"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6739"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c>
          <w:tcPr>
            <w:tcW w:w="2117"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6739"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c>
          <w:tcPr>
            <w:tcW w:w="2117"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6739"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c>
          <w:tcPr>
            <w:tcW w:w="2117"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F. Xây dựng và tính toán lượng phát thải tham chiếu</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F.1. Xây dựng lượng phát thải tham chiếu</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F.2. Tính toán lượng phát thải tham chiếu</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G. Tính toán lượng phát thải của dự án</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H. Tính toán lượng phát thải giảm đ</w:t>
      </w:r>
      <w:r w:rsidRPr="00007D26">
        <w:rPr>
          <w:rFonts w:cs="Times New Roman"/>
          <w:b/>
          <w:bCs/>
          <w:sz w:val="24"/>
          <w:szCs w:val="24"/>
          <w:shd w:val="clear" w:color="auto" w:fill="FFFFFF"/>
        </w:rPr>
        <w:t>ượ</w:t>
      </w:r>
      <w:r w:rsidRPr="00007D26">
        <w:rPr>
          <w:rFonts w:cs="Times New Roman"/>
          <w:b/>
          <w:bCs/>
          <w:sz w:val="24"/>
          <w:szCs w:val="24"/>
        </w:rPr>
        <w:t>c</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I. Dữ liệu và các tham số được mặc định</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Nguồn của các dữ liệu và tham số được mặc định</w:t>
      </w:r>
    </w:p>
    <w:tbl>
      <w:tblPr>
        <w:tblW w:w="5000" w:type="pct"/>
        <w:jc w:val="center"/>
        <w:tblCellMar>
          <w:left w:w="0" w:type="dxa"/>
          <w:right w:w="0" w:type="dxa"/>
        </w:tblCellMar>
        <w:tblLook w:val="04A0" w:firstRow="1" w:lastRow="0" w:firstColumn="1" w:lastColumn="0" w:noHBand="0" w:noVBand="1"/>
      </w:tblPr>
      <w:tblGrid>
        <w:gridCol w:w="1346"/>
        <w:gridCol w:w="4209"/>
        <w:gridCol w:w="2965"/>
      </w:tblGrid>
      <w:tr w:rsidR="00007D26" w:rsidRPr="00007D26" w:rsidTr="00007D26">
        <w:trPr>
          <w:jc w:val="center"/>
        </w:trPr>
        <w:tc>
          <w:tcPr>
            <w:tcW w:w="1383" w:type="dxa"/>
            <w:tcBorders>
              <w:top w:val="single" w:sz="8" w:space="0" w:color="auto"/>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Tham số</w:t>
            </w:r>
          </w:p>
        </w:tc>
        <w:tc>
          <w:tcPr>
            <w:tcW w:w="4396" w:type="dxa"/>
            <w:tcBorders>
              <w:top w:val="single" w:sz="8" w:space="0" w:color="auto"/>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Mô tả dữ liệu</w:t>
            </w:r>
          </w:p>
        </w:tc>
        <w:tc>
          <w:tcPr>
            <w:tcW w:w="3077" w:type="dxa"/>
            <w:tcBorders>
              <w:top w:val="single" w:sz="8" w:space="0" w:color="auto"/>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Nguồn</w:t>
            </w:r>
          </w:p>
        </w:tc>
      </w:tr>
      <w:tr w:rsidR="00007D26" w:rsidRPr="00007D26" w:rsidTr="00007D26">
        <w:trPr>
          <w:jc w:val="center"/>
        </w:trPr>
        <w:tc>
          <w:tcPr>
            <w:tcW w:w="1383"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4396"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3077"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1383"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4396"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3077"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1383"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4396"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3077"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1383"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4396"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3077"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1. Hướng dẫn hoàn thành Bảng tính Phương pháp luận được đề xuất</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Dưới đây là Hướng dẫn hoàn thành Bảng tính Phương pháp luận được đề xuất. Bảng đầu vào của Bảng tính phải được hoàn thành như sau. Bảng Đầu vào giả định của Bảng tính Phương pháp luận được đề xuất về các hệ thống quản lý năng lượng tòa nhà (BEMS) được sử dụng nhằm làm rõ Hướng dẫn này. Bảng đầu vào này chỉ có tác dụng minh họa và không phải là Bảng đầu vào của Phương pháp luận được đề xuất sẽ được phê duyệt.</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 </w:t>
      </w:r>
    </w:p>
    <w:p w:rsidR="00007D26" w:rsidRPr="00007D26" w:rsidRDefault="00007D26" w:rsidP="00007D26">
      <w:pPr>
        <w:spacing w:before="120" w:after="120" w:line="240" w:lineRule="auto"/>
        <w:rPr>
          <w:rFonts w:cs="Times New Roman"/>
          <w:b/>
          <w:bCs/>
          <w:sz w:val="24"/>
          <w:szCs w:val="24"/>
        </w:rPr>
        <w:sectPr w:rsidR="00007D26" w:rsidRPr="00007D26">
          <w:headerReference w:type="even" r:id="rId6"/>
          <w:headerReference w:type="default" r:id="rId7"/>
          <w:footerReference w:type="even" r:id="rId8"/>
          <w:footerReference w:type="default" r:id="rId9"/>
          <w:headerReference w:type="first" r:id="rId10"/>
          <w:footerReference w:type="first" r:id="rId11"/>
          <w:pgSz w:w="9980" w:h="14180"/>
          <w:pgMar w:top="720" w:right="720" w:bottom="720" w:left="720" w:header="720" w:footer="720" w:gutter="0"/>
          <w:cols w:space="720"/>
        </w:sectPr>
      </w:pP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Proposed Methodology Spreadsheet (input sheet) [Attachment to Proposed Methodology Form]</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i/>
          <w:iCs/>
          <w:sz w:val="24"/>
          <w:szCs w:val="24"/>
        </w:rPr>
        <w:t>Table 1: Parameters to be monitored ex post</w:t>
      </w:r>
    </w:p>
    <w:tbl>
      <w:tblPr>
        <w:tblW w:w="5000" w:type="pct"/>
        <w:jc w:val="center"/>
        <w:tblCellMar>
          <w:left w:w="0" w:type="dxa"/>
          <w:right w:w="0" w:type="dxa"/>
        </w:tblCellMar>
        <w:tblLook w:val="0040" w:firstRow="0" w:lastRow="1" w:firstColumn="0" w:lastColumn="0" w:noHBand="0" w:noVBand="0"/>
      </w:tblPr>
      <w:tblGrid>
        <w:gridCol w:w="808"/>
        <w:gridCol w:w="816"/>
        <w:gridCol w:w="1353"/>
        <w:gridCol w:w="718"/>
        <w:gridCol w:w="521"/>
        <w:gridCol w:w="807"/>
        <w:gridCol w:w="682"/>
        <w:gridCol w:w="1290"/>
        <w:gridCol w:w="807"/>
        <w:gridCol w:w="718"/>
      </w:tblGrid>
      <w:tr w:rsidR="00007D26" w:rsidRPr="005F0778" w:rsidTr="00007D26">
        <w:trPr>
          <w:jc w:val="center"/>
        </w:trPr>
        <w:tc>
          <w:tcPr>
            <w:tcW w:w="5000" w:type="pct"/>
            <w:tcBorders>
              <w:top w:val="single" w:sz="8" w:space="0" w:color="auto"/>
              <w:left w:val="single" w:sz="8" w:space="0" w:color="auto"/>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(a)</w:t>
            </w:r>
          </w:p>
        </w:tc>
        <w:tc>
          <w:tcPr>
            <w:tcW w:w="5000" w:type="pct"/>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(b)</w:t>
            </w:r>
          </w:p>
        </w:tc>
        <w:tc>
          <w:tcPr>
            <w:tcW w:w="5000" w:type="pct"/>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(c)</w:t>
            </w:r>
          </w:p>
        </w:tc>
        <w:tc>
          <w:tcPr>
            <w:tcW w:w="5000" w:type="pct"/>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(d)</w:t>
            </w:r>
          </w:p>
        </w:tc>
        <w:tc>
          <w:tcPr>
            <w:tcW w:w="5000" w:type="pct"/>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(e)</w:t>
            </w:r>
          </w:p>
        </w:tc>
        <w:tc>
          <w:tcPr>
            <w:tcW w:w="5000" w:type="pct"/>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(f)</w:t>
            </w:r>
          </w:p>
        </w:tc>
        <w:tc>
          <w:tcPr>
            <w:tcW w:w="5000" w:type="pct"/>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(g)</w:t>
            </w:r>
          </w:p>
        </w:tc>
        <w:tc>
          <w:tcPr>
            <w:tcW w:w="5000" w:type="pct"/>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(h)</w:t>
            </w:r>
          </w:p>
        </w:tc>
        <w:tc>
          <w:tcPr>
            <w:tcW w:w="5000" w:type="pct"/>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(i)</w:t>
            </w:r>
          </w:p>
        </w:tc>
        <w:tc>
          <w:tcPr>
            <w:tcW w:w="5000" w:type="pct"/>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(j)</w:t>
            </w:r>
          </w:p>
        </w:tc>
      </w:tr>
      <w:tr w:rsidR="00007D26" w:rsidRPr="005F0778" w:rsidTr="00007D26">
        <w:trPr>
          <w:jc w:val="center"/>
        </w:trPr>
        <w:tc>
          <w:tcPr>
            <w:tcW w:w="5000" w:type="pct"/>
            <w:tcBorders>
              <w:top w:val="nil"/>
              <w:left w:val="single" w:sz="8" w:space="0" w:color="auto"/>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Monitoring point No.</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Parameters</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Description of data</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Estimated Values</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Units</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Monitoring Option</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Source of data</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Measurement methods and procedures</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Monitoring frequency</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Other comments</w:t>
            </w:r>
          </w:p>
        </w:tc>
      </w:tr>
      <w:tr w:rsidR="00007D26" w:rsidRPr="005F0778" w:rsidTr="00007D26">
        <w:trPr>
          <w:jc w:val="center"/>
        </w:trPr>
        <w:tc>
          <w:tcPr>
            <w:tcW w:w="5000" w:type="pct"/>
            <w:tcBorders>
              <w:top w:val="nil"/>
              <w:left w:val="single" w:sz="8" w:space="0" w:color="auto"/>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(1)</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PFC</w:t>
            </w:r>
            <w:r w:rsidRPr="005F0778">
              <w:rPr>
                <w:rFonts w:cs="Times New Roman"/>
                <w:sz w:val="18"/>
                <w:szCs w:val="24"/>
                <w:vertAlign w:val="subscript"/>
              </w:rPr>
              <w:t>D,y</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Project diesel fuel consumption during the period of year y</w:t>
            </w:r>
          </w:p>
        </w:tc>
        <w:tc>
          <w:tcPr>
            <w:tcW w:w="5000" w:type="pct"/>
            <w:tcBorders>
              <w:top w:val="nil"/>
              <w:left w:val="nil"/>
              <w:bottom w:val="single" w:sz="8" w:space="0" w:color="auto"/>
              <w:right w:val="single" w:sz="8" w:space="0" w:color="auto"/>
            </w:tcBorders>
            <w:vAlign w:val="center"/>
          </w:tcPr>
          <w:p w:rsidR="00007D26" w:rsidRPr="005F0778" w:rsidRDefault="00007D26" w:rsidP="00007D26">
            <w:pPr>
              <w:adjustRightInd w:val="0"/>
              <w:snapToGrid w:val="0"/>
              <w:spacing w:before="120" w:after="120" w:line="240" w:lineRule="auto"/>
              <w:jc w:val="center"/>
              <w:rPr>
                <w:rFonts w:cs="Times New Roman"/>
                <w:sz w:val="18"/>
                <w:szCs w:val="24"/>
              </w:rPr>
            </w:pP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kl/y</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Option B</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purchase records</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 Collecting purchase amount from retailer invoices and inputting to a spreadsheet manually</w:t>
            </w:r>
          </w:p>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 Project deputy managers double check the input data with invoices every 6 months</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once a month</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 </w:t>
            </w:r>
          </w:p>
        </w:tc>
      </w:tr>
      <w:tr w:rsidR="00007D26" w:rsidRPr="005F0778" w:rsidTr="00007D26">
        <w:trPr>
          <w:jc w:val="center"/>
        </w:trPr>
        <w:tc>
          <w:tcPr>
            <w:tcW w:w="5000" w:type="pct"/>
            <w:tcBorders>
              <w:top w:val="nil"/>
              <w:left w:val="single" w:sz="8" w:space="0" w:color="auto"/>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(2)</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PEC</w:t>
            </w:r>
            <w:r w:rsidRPr="005F0778">
              <w:rPr>
                <w:rFonts w:cs="Times New Roman"/>
                <w:sz w:val="18"/>
                <w:szCs w:val="24"/>
                <w:vertAlign w:val="subscript"/>
              </w:rPr>
              <w:t>y</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Project electricity consumption  during the period of year y</w:t>
            </w:r>
          </w:p>
        </w:tc>
        <w:tc>
          <w:tcPr>
            <w:tcW w:w="5000" w:type="pct"/>
            <w:tcBorders>
              <w:top w:val="nil"/>
              <w:left w:val="nil"/>
              <w:bottom w:val="single" w:sz="8" w:space="0" w:color="auto"/>
              <w:right w:val="single" w:sz="8" w:space="0" w:color="auto"/>
            </w:tcBorders>
            <w:vAlign w:val="center"/>
          </w:tcPr>
          <w:p w:rsidR="00007D26" w:rsidRPr="005F0778" w:rsidRDefault="00007D26" w:rsidP="00007D26">
            <w:pPr>
              <w:adjustRightInd w:val="0"/>
              <w:snapToGrid w:val="0"/>
              <w:spacing w:before="120" w:after="120" w:line="240" w:lineRule="auto"/>
              <w:jc w:val="center"/>
              <w:rPr>
                <w:rFonts w:cs="Times New Roman"/>
                <w:sz w:val="18"/>
                <w:szCs w:val="24"/>
              </w:rPr>
            </w:pP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MWh/y</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Option C</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monitored data</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 Collecting electricity consumption data with validated/calibrated electricity monitoring devices and inputting to a spreadsheet electrically</w:t>
            </w:r>
          </w:p>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 Verified monitoring devices are installed and they are calibrated once a year.</w:t>
            </w:r>
          </w:p>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 Verification and calibration shall meet international standard on corresponding monitoring devices.</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continuous</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 </w:t>
            </w:r>
          </w:p>
        </w:tc>
      </w:tr>
      <w:tr w:rsidR="00007D26" w:rsidRPr="005F0778" w:rsidTr="00007D26">
        <w:trPr>
          <w:jc w:val="center"/>
        </w:trPr>
        <w:tc>
          <w:tcPr>
            <w:tcW w:w="5000" w:type="pct"/>
            <w:tcBorders>
              <w:top w:val="nil"/>
              <w:left w:val="single" w:sz="8" w:space="0" w:color="auto"/>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(3)</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PFC</w:t>
            </w:r>
            <w:r w:rsidRPr="005F0778">
              <w:rPr>
                <w:rFonts w:cs="Times New Roman"/>
                <w:sz w:val="18"/>
                <w:szCs w:val="24"/>
                <w:vertAlign w:val="subscript"/>
              </w:rPr>
              <w:t>L,y</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Project LPG consumption during the period of year y</w:t>
            </w:r>
          </w:p>
        </w:tc>
        <w:tc>
          <w:tcPr>
            <w:tcW w:w="5000" w:type="pct"/>
            <w:tcBorders>
              <w:top w:val="nil"/>
              <w:left w:val="nil"/>
              <w:bottom w:val="single" w:sz="8" w:space="0" w:color="auto"/>
              <w:right w:val="single" w:sz="8" w:space="0" w:color="auto"/>
            </w:tcBorders>
            <w:vAlign w:val="center"/>
          </w:tcPr>
          <w:p w:rsidR="00007D26" w:rsidRPr="005F0778" w:rsidRDefault="00007D26" w:rsidP="00007D26">
            <w:pPr>
              <w:adjustRightInd w:val="0"/>
              <w:snapToGrid w:val="0"/>
              <w:spacing w:before="120" w:after="120" w:line="240" w:lineRule="auto"/>
              <w:jc w:val="center"/>
              <w:rPr>
                <w:rFonts w:cs="Times New Roman"/>
                <w:sz w:val="18"/>
                <w:szCs w:val="24"/>
              </w:rPr>
            </w:pP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t/y</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N/A</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N/A</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N/A</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N/A</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r>
      <w:tr w:rsidR="00007D26" w:rsidRPr="005F0778" w:rsidTr="00007D26">
        <w:trPr>
          <w:jc w:val="center"/>
        </w:trPr>
        <w:tc>
          <w:tcPr>
            <w:tcW w:w="5000" w:type="pct"/>
            <w:tcBorders>
              <w:top w:val="nil"/>
              <w:left w:val="single" w:sz="8" w:space="0" w:color="auto"/>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(4)</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PFC</w:t>
            </w:r>
            <w:r w:rsidRPr="005F0778">
              <w:rPr>
                <w:rFonts w:cs="Times New Roman"/>
                <w:sz w:val="18"/>
                <w:szCs w:val="24"/>
                <w:vertAlign w:val="subscript"/>
              </w:rPr>
              <w:t>N,y</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Project natural gas consumption during the period of year y</w:t>
            </w:r>
          </w:p>
        </w:tc>
        <w:tc>
          <w:tcPr>
            <w:tcW w:w="5000" w:type="pct"/>
            <w:tcBorders>
              <w:top w:val="nil"/>
              <w:left w:val="nil"/>
              <w:bottom w:val="single" w:sz="8" w:space="0" w:color="auto"/>
              <w:right w:val="single" w:sz="8" w:space="0" w:color="auto"/>
            </w:tcBorders>
            <w:vAlign w:val="center"/>
          </w:tcPr>
          <w:p w:rsidR="00007D26" w:rsidRPr="005F0778" w:rsidRDefault="00007D26" w:rsidP="00007D26">
            <w:pPr>
              <w:adjustRightInd w:val="0"/>
              <w:snapToGrid w:val="0"/>
              <w:spacing w:before="120" w:after="120" w:line="240" w:lineRule="auto"/>
              <w:jc w:val="center"/>
              <w:rPr>
                <w:rFonts w:cs="Times New Roman"/>
                <w:sz w:val="18"/>
                <w:szCs w:val="24"/>
              </w:rPr>
            </w:pP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1000 Nm</w:t>
            </w:r>
            <w:r w:rsidRPr="005F0778">
              <w:rPr>
                <w:rFonts w:cs="Times New Roman"/>
                <w:sz w:val="18"/>
                <w:szCs w:val="24"/>
                <w:vertAlign w:val="superscript"/>
              </w:rPr>
              <w:t>3</w:t>
            </w:r>
            <w:r w:rsidRPr="005F0778">
              <w:rPr>
                <w:rFonts w:cs="Times New Roman"/>
                <w:sz w:val="18"/>
                <w:szCs w:val="24"/>
              </w:rPr>
              <w:t>/y</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N/A</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N/A</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N/A</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N/A</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r>
      <w:tr w:rsidR="00007D26" w:rsidRPr="005F0778" w:rsidTr="00007D26">
        <w:trPr>
          <w:jc w:val="center"/>
        </w:trPr>
        <w:tc>
          <w:tcPr>
            <w:tcW w:w="5000" w:type="pct"/>
            <w:tcBorders>
              <w:top w:val="nil"/>
              <w:left w:val="single" w:sz="8" w:space="0" w:color="auto"/>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(5)</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PFC</w:t>
            </w:r>
            <w:r w:rsidRPr="005F0778">
              <w:rPr>
                <w:rFonts w:cs="Times New Roman"/>
                <w:sz w:val="18"/>
                <w:szCs w:val="24"/>
                <w:vertAlign w:val="subscript"/>
              </w:rPr>
              <w:t>k,y</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Project kerosene consumption during the period of year y</w:t>
            </w:r>
          </w:p>
        </w:tc>
        <w:tc>
          <w:tcPr>
            <w:tcW w:w="5000" w:type="pct"/>
            <w:tcBorders>
              <w:top w:val="nil"/>
              <w:left w:val="nil"/>
              <w:bottom w:val="single" w:sz="8" w:space="0" w:color="auto"/>
              <w:right w:val="single" w:sz="8" w:space="0" w:color="auto"/>
            </w:tcBorders>
            <w:vAlign w:val="center"/>
          </w:tcPr>
          <w:p w:rsidR="00007D26" w:rsidRPr="005F0778" w:rsidRDefault="00007D26" w:rsidP="00007D26">
            <w:pPr>
              <w:adjustRightInd w:val="0"/>
              <w:snapToGrid w:val="0"/>
              <w:spacing w:before="120" w:after="120" w:line="240" w:lineRule="auto"/>
              <w:jc w:val="center"/>
              <w:rPr>
                <w:rFonts w:cs="Times New Roman"/>
                <w:sz w:val="18"/>
                <w:szCs w:val="24"/>
              </w:rPr>
            </w:pP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kl/y</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N/A</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N/A</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N/A</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N/A</w:t>
            </w:r>
          </w:p>
        </w:tc>
        <w:tc>
          <w:tcPr>
            <w:tcW w:w="5000" w:type="pct"/>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i/>
          <w:iCs/>
          <w:sz w:val="24"/>
          <w:szCs w:val="24"/>
        </w:rPr>
        <w:t>Table 2: Project-specific parameters to be fixed ex ante</w:t>
      </w:r>
    </w:p>
    <w:tbl>
      <w:tblPr>
        <w:tblW w:w="5000" w:type="pct"/>
        <w:jc w:val="center"/>
        <w:tblCellMar>
          <w:left w:w="0" w:type="dxa"/>
          <w:right w:w="0" w:type="dxa"/>
        </w:tblCellMar>
        <w:tblLook w:val="04A0" w:firstRow="1" w:lastRow="0" w:firstColumn="1" w:lastColumn="0" w:noHBand="0" w:noVBand="1"/>
      </w:tblPr>
      <w:tblGrid>
        <w:gridCol w:w="1235"/>
        <w:gridCol w:w="1737"/>
        <w:gridCol w:w="1091"/>
        <w:gridCol w:w="609"/>
        <w:gridCol w:w="2443"/>
        <w:gridCol w:w="1405"/>
      </w:tblGrid>
      <w:tr w:rsidR="00007D26" w:rsidRPr="00007D26" w:rsidTr="00007D26">
        <w:trPr>
          <w:jc w:val="center"/>
        </w:trPr>
        <w:tc>
          <w:tcPr>
            <w:tcW w:w="1306" w:type="dxa"/>
            <w:tcBorders>
              <w:top w:val="single" w:sz="8" w:space="0" w:color="auto"/>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(a)</w:t>
            </w:r>
          </w:p>
        </w:tc>
        <w:tc>
          <w:tcPr>
            <w:tcW w:w="2869"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(b)</w:t>
            </w:r>
          </w:p>
        </w:tc>
        <w:tc>
          <w:tcPr>
            <w:tcW w:w="1172"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(c)</w:t>
            </w:r>
          </w:p>
        </w:tc>
        <w:tc>
          <w:tcPr>
            <w:tcW w:w="716"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(d)</w:t>
            </w:r>
          </w:p>
        </w:tc>
        <w:tc>
          <w:tcPr>
            <w:tcW w:w="4814"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(e)</w:t>
            </w:r>
          </w:p>
        </w:tc>
        <w:tc>
          <w:tcPr>
            <w:tcW w:w="2299"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(f)</w:t>
            </w:r>
          </w:p>
        </w:tc>
      </w:tr>
      <w:tr w:rsidR="00007D26" w:rsidRPr="00007D26" w:rsidTr="00007D26">
        <w:trPr>
          <w:jc w:val="center"/>
        </w:trPr>
        <w:tc>
          <w:tcPr>
            <w:tcW w:w="1306"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Parameters</w:t>
            </w:r>
          </w:p>
        </w:tc>
        <w:tc>
          <w:tcPr>
            <w:tcW w:w="2869"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Description of data</w:t>
            </w:r>
          </w:p>
        </w:tc>
        <w:tc>
          <w:tcPr>
            <w:tcW w:w="1172"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Estimated Values</w:t>
            </w:r>
          </w:p>
        </w:tc>
        <w:tc>
          <w:tcPr>
            <w:tcW w:w="716"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Units</w:t>
            </w:r>
          </w:p>
        </w:tc>
        <w:tc>
          <w:tcPr>
            <w:tcW w:w="4814"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Source of data</w:t>
            </w:r>
          </w:p>
        </w:tc>
        <w:tc>
          <w:tcPr>
            <w:tcW w:w="2299"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Other comments</w:t>
            </w:r>
          </w:p>
        </w:tc>
      </w:tr>
      <w:tr w:rsidR="00007D26" w:rsidRPr="00007D26" w:rsidTr="00007D26">
        <w:trPr>
          <w:jc w:val="center"/>
        </w:trPr>
        <w:tc>
          <w:tcPr>
            <w:tcW w:w="1306"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EER</w:t>
            </w:r>
            <w:r w:rsidRPr="00007D26">
              <w:rPr>
                <w:rFonts w:cs="Times New Roman"/>
                <w:sz w:val="24"/>
                <w:szCs w:val="24"/>
                <w:vertAlign w:val="subscript"/>
              </w:rPr>
              <w:t>office</w:t>
            </w:r>
          </w:p>
        </w:tc>
        <w:tc>
          <w:tcPr>
            <w:tcW w:w="2869"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Percentage of improvement in energy consumption efficiency for [Office Building] using BEMS</w:t>
            </w:r>
          </w:p>
        </w:tc>
        <w:tc>
          <w:tcPr>
            <w:tcW w:w="1172" w:type="dxa"/>
            <w:tcBorders>
              <w:top w:val="nil"/>
              <w:left w:val="nil"/>
              <w:bottom w:val="single" w:sz="8" w:space="0" w:color="auto"/>
              <w:right w:val="single" w:sz="8" w:space="0" w:color="auto"/>
            </w:tcBorders>
          </w:tcPr>
          <w:p w:rsidR="00007D26" w:rsidRPr="00007D26" w:rsidRDefault="00007D26" w:rsidP="00007D26">
            <w:pPr>
              <w:adjustRightInd w:val="0"/>
              <w:snapToGrid w:val="0"/>
              <w:spacing w:before="120" w:after="120" w:line="240" w:lineRule="auto"/>
              <w:jc w:val="center"/>
              <w:rPr>
                <w:rFonts w:cs="Times New Roman"/>
                <w:sz w:val="24"/>
                <w:szCs w:val="24"/>
              </w:rPr>
            </w:pPr>
          </w:p>
        </w:tc>
        <w:tc>
          <w:tcPr>
            <w:tcW w:w="716"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w:t>
            </w:r>
          </w:p>
        </w:tc>
        <w:tc>
          <w:tcPr>
            <w:tcW w:w="4814"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Past records of 30 similar size office buildings for the period of 2008-2012 measured by the project participant, BEMS provider.</w:t>
            </w:r>
          </w:p>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Data set of each building has the data of before and after BEMS implementation at least for one year respectively.</w:t>
            </w:r>
          </w:p>
        </w:tc>
        <w:tc>
          <w:tcPr>
            <w:tcW w:w="2299" w:type="dxa"/>
            <w:tcBorders>
              <w:top w:val="nil"/>
              <w:left w:val="nil"/>
              <w:bottom w:val="single" w:sz="8" w:space="0" w:color="auto"/>
              <w:right w:val="single" w:sz="8" w:space="0" w:color="auto"/>
            </w:tcBorders>
          </w:tcPr>
          <w:p w:rsidR="00007D26" w:rsidRPr="00007D26" w:rsidRDefault="00007D26" w:rsidP="00007D26">
            <w:pPr>
              <w:adjustRightInd w:val="0"/>
              <w:snapToGrid w:val="0"/>
              <w:spacing w:before="120" w:after="120" w:line="240" w:lineRule="auto"/>
              <w:jc w:val="center"/>
              <w:rPr>
                <w:rFonts w:cs="Times New Roman"/>
                <w:sz w:val="24"/>
                <w:szCs w:val="24"/>
              </w:rPr>
            </w:pP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i/>
          <w:iCs/>
          <w:sz w:val="24"/>
          <w:szCs w:val="24"/>
        </w:rPr>
        <w:t>Table 3: Ex-ante estimation of CO</w:t>
      </w:r>
      <w:r w:rsidRPr="00007D26">
        <w:rPr>
          <w:rFonts w:cs="Times New Roman"/>
          <w:b/>
          <w:bCs/>
          <w:i/>
          <w:iCs/>
          <w:sz w:val="24"/>
          <w:szCs w:val="24"/>
          <w:vertAlign w:val="subscript"/>
        </w:rPr>
        <w:t>2</w:t>
      </w:r>
      <w:r w:rsidRPr="00007D26">
        <w:rPr>
          <w:rFonts w:cs="Times New Roman"/>
          <w:b/>
          <w:bCs/>
          <w:i/>
          <w:iCs/>
          <w:sz w:val="24"/>
          <w:szCs w:val="24"/>
        </w:rPr>
        <w:t xml:space="preserve"> emission reductions</w:t>
      </w:r>
    </w:p>
    <w:tbl>
      <w:tblPr>
        <w:tblW w:w="5000" w:type="pct"/>
        <w:jc w:val="center"/>
        <w:tblCellMar>
          <w:left w:w="0" w:type="dxa"/>
          <w:right w:w="0" w:type="dxa"/>
        </w:tblCellMar>
        <w:tblLook w:val="04A0" w:firstRow="1" w:lastRow="0" w:firstColumn="1" w:lastColumn="0" w:noHBand="0" w:noVBand="1"/>
      </w:tblPr>
      <w:tblGrid>
        <w:gridCol w:w="3759"/>
        <w:gridCol w:w="4761"/>
      </w:tblGrid>
      <w:tr w:rsidR="00007D26" w:rsidRPr="00007D26" w:rsidTr="00007D26">
        <w:trPr>
          <w:jc w:val="center"/>
        </w:trPr>
        <w:tc>
          <w:tcPr>
            <w:tcW w:w="2748" w:type="dxa"/>
            <w:tcBorders>
              <w:top w:val="single" w:sz="8" w:space="0" w:color="auto"/>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CO</w:t>
            </w:r>
            <w:r w:rsidRPr="00007D26">
              <w:rPr>
                <w:rFonts w:cs="Times New Roman"/>
                <w:b/>
                <w:bCs/>
                <w:sz w:val="24"/>
                <w:szCs w:val="24"/>
                <w:vertAlign w:val="subscript"/>
              </w:rPr>
              <w:t>2</w:t>
            </w:r>
            <w:r w:rsidRPr="00007D26">
              <w:rPr>
                <w:rFonts w:cs="Times New Roman"/>
                <w:b/>
                <w:bCs/>
                <w:sz w:val="24"/>
                <w:szCs w:val="24"/>
              </w:rPr>
              <w:t xml:space="preserve"> emission reductions</w:t>
            </w:r>
          </w:p>
        </w:tc>
        <w:tc>
          <w:tcPr>
            <w:tcW w:w="3480"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Units</w:t>
            </w:r>
          </w:p>
        </w:tc>
      </w:tr>
      <w:tr w:rsidR="00007D26" w:rsidRPr="00007D26" w:rsidTr="00007D26">
        <w:trPr>
          <w:jc w:val="center"/>
        </w:trPr>
        <w:tc>
          <w:tcPr>
            <w:tcW w:w="2748"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0</w:t>
            </w:r>
          </w:p>
        </w:tc>
        <w:tc>
          <w:tcPr>
            <w:tcW w:w="3480"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tCO</w:t>
            </w:r>
            <w:r w:rsidRPr="00007D26">
              <w:rPr>
                <w:rFonts w:cs="Times New Roman"/>
                <w:sz w:val="24"/>
                <w:szCs w:val="24"/>
                <w:vertAlign w:val="subscript"/>
              </w:rPr>
              <w:t>2</w:t>
            </w:r>
            <w:r w:rsidRPr="00007D26">
              <w:rPr>
                <w:rFonts w:cs="Times New Roman"/>
                <w:sz w:val="24"/>
                <w:szCs w:val="24"/>
              </w:rPr>
              <w:t>/y</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[Monitoring option]</w:t>
      </w:r>
    </w:p>
    <w:tbl>
      <w:tblPr>
        <w:tblW w:w="5000" w:type="pct"/>
        <w:jc w:val="center"/>
        <w:tblCellMar>
          <w:left w:w="0" w:type="dxa"/>
          <w:right w:w="0" w:type="dxa"/>
        </w:tblCellMar>
        <w:tblLook w:val="04A0" w:firstRow="1" w:lastRow="0" w:firstColumn="1" w:lastColumn="0" w:noHBand="0" w:noVBand="1"/>
      </w:tblPr>
      <w:tblGrid>
        <w:gridCol w:w="1186"/>
        <w:gridCol w:w="7334"/>
      </w:tblGrid>
      <w:tr w:rsidR="00007D26" w:rsidRPr="00007D26" w:rsidTr="00007D26">
        <w:trPr>
          <w:jc w:val="center"/>
        </w:trPr>
        <w:tc>
          <w:tcPr>
            <w:tcW w:w="1548" w:type="dxa"/>
            <w:tcBorders>
              <w:top w:val="single" w:sz="8" w:space="0" w:color="auto"/>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Option A</w:t>
            </w:r>
          </w:p>
        </w:tc>
        <w:tc>
          <w:tcPr>
            <w:tcW w:w="11628"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Based on public data which is measured by entities other than the project participants (Data used: publicly recognized data such as statistical data and specifications)</w:t>
            </w:r>
          </w:p>
        </w:tc>
      </w:tr>
      <w:tr w:rsidR="00007D26" w:rsidRPr="00007D26" w:rsidTr="00007D26">
        <w:trPr>
          <w:jc w:val="center"/>
        </w:trPr>
        <w:tc>
          <w:tcPr>
            <w:tcW w:w="1548"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Option B</w:t>
            </w:r>
          </w:p>
        </w:tc>
        <w:tc>
          <w:tcPr>
            <w:tcW w:w="11628"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Based on the amount of transaction which is measured directly using measuring equipments (Data used: commercial evidence such as invoices)</w:t>
            </w:r>
          </w:p>
        </w:tc>
      </w:tr>
      <w:tr w:rsidR="00007D26" w:rsidRPr="00007D26" w:rsidTr="00007D26">
        <w:trPr>
          <w:jc w:val="center"/>
        </w:trPr>
        <w:tc>
          <w:tcPr>
            <w:tcW w:w="1548"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Option C</w:t>
            </w:r>
          </w:p>
        </w:tc>
        <w:tc>
          <w:tcPr>
            <w:tcW w:w="11628"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Based on the actual measurement using measuring equipments (Data used: measured values)</w:t>
            </w:r>
          </w:p>
        </w:tc>
      </w:tr>
    </w:tbl>
    <w:p w:rsidR="00007D26" w:rsidRPr="00007D26" w:rsidRDefault="00007D26" w:rsidP="00007D26">
      <w:pPr>
        <w:adjustRightInd w:val="0"/>
        <w:snapToGrid w:val="0"/>
        <w:spacing w:before="120" w:after="120" w:line="240" w:lineRule="auto"/>
        <w:rPr>
          <w:rFonts w:cs="Times New Roman"/>
          <w:sz w:val="24"/>
          <w:szCs w:val="24"/>
        </w:rPr>
      </w:pPr>
    </w:p>
    <w:p w:rsidR="00007D26" w:rsidRPr="00007D26" w:rsidRDefault="00007D26" w:rsidP="00007D26">
      <w:pPr>
        <w:spacing w:before="120" w:after="120" w:line="240" w:lineRule="auto"/>
        <w:rPr>
          <w:rFonts w:cs="Times New Roman"/>
          <w:sz w:val="24"/>
          <w:szCs w:val="24"/>
        </w:rPr>
        <w:sectPr w:rsidR="00007D26" w:rsidRPr="00007D26">
          <w:pgSz w:w="9980" w:h="14180"/>
          <w:pgMar w:top="720" w:right="720" w:bottom="720" w:left="720" w:header="720" w:footer="720" w:gutter="0"/>
          <w:cols w:space="720"/>
        </w:sectPr>
      </w:pP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Bảng Quá trình tính toán của Phương pháp luận được đề xuất phải được hoàn thành như sau. Bảng Quá trình tính toán giả định của Bảng tính Phương pháp luận được đề xuất về các hệ thống quản lý năng lượng tòa nhà (BEMS) được sử dụng nhằm làm rõ Hướng dẫn này. Bảng đầu vào này chỉ có tác dụng minh họa và không phải là Bảng đầu vào của Phương pháp luận được đề xuất sẽ được phê duyệt.</w:t>
      </w:r>
    </w:p>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noProof/>
          <w:sz w:val="24"/>
          <w:szCs w:val="24"/>
        </w:rPr>
        <w:drawing>
          <wp:inline distT="0" distB="0" distL="0" distR="0">
            <wp:extent cx="4410075" cy="8229600"/>
            <wp:effectExtent l="0" t="0" r="952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0075" cy="8229600"/>
                    </a:xfrm>
                    <a:prstGeom prst="rect">
                      <a:avLst/>
                    </a:prstGeom>
                    <a:noFill/>
                    <a:ln>
                      <a:noFill/>
                    </a:ln>
                  </pic:spPr>
                </pic:pic>
              </a:graphicData>
            </a:graphic>
          </wp:inline>
        </w:drawing>
      </w:r>
    </w:p>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bl>
      <w:tblPr>
        <w:tblW w:w="5000" w:type="pct"/>
        <w:jc w:val="center"/>
        <w:tblCellMar>
          <w:left w:w="0" w:type="dxa"/>
          <w:right w:w="0" w:type="dxa"/>
        </w:tblCellMar>
        <w:tblLook w:val="04A0" w:firstRow="1" w:lastRow="0" w:firstColumn="1" w:lastColumn="0" w:noHBand="0" w:noVBand="1"/>
      </w:tblPr>
      <w:tblGrid>
        <w:gridCol w:w="8520"/>
      </w:tblGrid>
      <w:tr w:rsidR="00007D26" w:rsidRPr="00007D26" w:rsidTr="00007D26">
        <w:trPr>
          <w:jc w:val="center"/>
        </w:trPr>
        <w:tc>
          <w:tcPr>
            <w:tcW w:w="8856" w:type="dxa"/>
            <w:tcBorders>
              <w:top w:val="single" w:sz="8" w:space="0" w:color="auto"/>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Bảng Đầu vào của Phương pháp luận được đề xuất bao gồm một bảng các thông số sẽ được quan trắc sau đó và các tham số được cố định trước, các tham số này khi kết hợp sẽ tạo ra một danh mục hoàn chỉnh các dữ liệu cần phải thu thập để áp dụng phương pháp luận. Các bảng này có thể bao gồm các dữ liệu được thu thập từ các nguồn khác (ví dụ như thống kê chính thức, hướng dẫn của IPCC, tài liệu thương mại và khoa học), được đo đạc hoặc lấy mẫu. Các tham số được tính toán với các phương trình được nêu trong phương pháp luận không được đưa vào phần này.</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Đối với "các tham số sẽ được quan trắc sau" (bảng 1), cần điền các đề mục sau</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Tham số: biến số được sử dụng trong phương trình của phương pháp luận được đề xuất;</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Mô tả dữ liệu: mô tả thông số một cách rõ ràng và rành mạch;</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Giá trị ước lượng: trường này dành cho các bên tham gia dự án điền vào để tính toán lượng khí thải giảm được, và cũng có thể để trống trong phương pháp luận được đề xuất.</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Đơn vị: Đơn vị Hệ thống quốc tế (đơn vị SI - xem tại địa chỉ &lt;http://www.bipm.fr/enus/3_SI/si.html&gt;)</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Phương án quan trắc: lựa chọn (các) phương án dưới đây. Nếu có thể, đề nghị cung cấp thứ tự ưu tiên và điều kiện khi lựa chọn các phương án này.</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xml:space="preserve">            • Phương án A: Dựa trên dữ liệu công cộng đã được các cơ quan và </w:t>
            </w:r>
            <w:r w:rsidRPr="00007D26">
              <w:rPr>
                <w:rFonts w:cs="Times New Roman"/>
                <w:i/>
                <w:iCs/>
                <w:sz w:val="24"/>
                <w:szCs w:val="24"/>
                <w:shd w:val="clear" w:color="auto" w:fill="FFFFFF"/>
              </w:rPr>
              <w:t>tổ chức</w:t>
            </w:r>
            <w:r w:rsidRPr="00007D26">
              <w:rPr>
                <w:rFonts w:cs="Times New Roman"/>
                <w:i/>
                <w:iCs/>
                <w:sz w:val="24"/>
                <w:szCs w:val="24"/>
              </w:rPr>
              <w:t xml:space="preserve"> khác các bên tham gia dự án đo đạc (Dữ liệu được sử dụng: dữ liệu đã được công nhận công khai như dữ liệu thống kê và các đặc trưng)</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 Phương án B: Dựa trên lượng giao dịch được đo đạc trực tiếp bằng cách sử dụng các thiết bị đo đạc (Dữ liệu được sử dụng: các tài liệu thương mại như hóa đơn)</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 Phương án C: Dựa trên số liệu thực đo bằng cách sử dụng các thiết bị đo (Dữ liệu được sử dụng: các giá trị được đo đạc)</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Nguồn dữ liệu: Mô tả loại dữ liệu được sử dụng để xác định tham số này. Ví dụ như, chỉ rõ các giá trị này được chọn và chứng minh như thế nào bằng cách giải thích:</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 Loại nguồn nào phù hợp (ví dụ như thống kê chính thức, hướng dẫn của IPCC, tài liệu thương mại và khoa học);</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 Phạm vi không gian nào của dữ liệu phù hợp (địa phương, vùng, quốc gia, quốc tế);</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Các phương pháp và quy trình đo đạc: Đối với các phương án B và C, mô tả các quy trình đo đạc hoặc tham khảo các tiêu chuẩn phù hợp. Cung cấp các quy chuẩn QA/QC.</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Tần suất quan trắc: mô tả tần suất quan trắc (ví dụ như liên tục, hàng năm, ...).</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Ý kiến khác: Đầu vào khác không được nêu trong các đề mục nêu trên.</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Trong trường hợp có thể, bảng “Thông số cố định sẵn” (bảng 2) phải tuân thủ những hướng dẫn đã được nêu ở trên. Dữ liệu chỉ được xác định một lần và cố định phải được xem xét trong “I. Dữ liệu và tham số được cố định sẵn”.</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Phụ chương 1 - Phạm vi lĩnh vực tham gia Cơ chế JCM</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1. Công nghiệp năng lượng (năng lượng tái tạo/năng lượng không tái tạo);</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2. Phân bổ năng lượng;</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3. Cầu năng lượng;</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4. Các ngành công nghiệp sản xuất;</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5. Công nghiệp hóa chất;</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6. Xây dựng;</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7. Giao thông;</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8. Khai thác/chế biến k</w:t>
      </w:r>
      <w:r w:rsidRPr="00007D26">
        <w:rPr>
          <w:rFonts w:cs="Times New Roman"/>
          <w:sz w:val="24"/>
          <w:szCs w:val="24"/>
          <w:shd w:val="clear" w:color="auto" w:fill="FFFFFF"/>
        </w:rPr>
        <w:t>hoán</w:t>
      </w:r>
      <w:r w:rsidRPr="00007D26">
        <w:rPr>
          <w:rFonts w:cs="Times New Roman"/>
          <w:sz w:val="24"/>
          <w:szCs w:val="24"/>
        </w:rPr>
        <w:t>g sản;</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9. Sản xuất kim loại;</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10. Phát thải tạm thời từ nhiên liệu (rắn, dầu và khí);</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11. Phát thải tạm thời từ hoạt động sản xuất và tiêu thụ halocarbons và sulphur hexafluoride;</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12. Sử dụng dung môi;</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13. Xử lý và loại bỏ rác thải;</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14. Trồng rừng và tái trồng rừng;</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15. Nông nghiệp.</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p w:rsidR="00007D26" w:rsidRPr="00007D26" w:rsidRDefault="00007D26" w:rsidP="00007D26">
      <w:pPr>
        <w:adjustRightInd w:val="0"/>
        <w:snapToGrid w:val="0"/>
        <w:spacing w:before="120" w:after="120" w:line="240" w:lineRule="auto"/>
        <w:jc w:val="center"/>
        <w:rPr>
          <w:rFonts w:cs="Times New Roman"/>
          <w:sz w:val="24"/>
          <w:szCs w:val="24"/>
        </w:rPr>
      </w:pPr>
      <w:bookmarkStart w:id="2" w:name="chuong_phuluc_2_1"/>
      <w:r w:rsidRPr="00007D26">
        <w:rPr>
          <w:rFonts w:cs="Times New Roman"/>
          <w:b/>
          <w:bCs/>
          <w:sz w:val="24"/>
          <w:szCs w:val="24"/>
        </w:rPr>
        <w:t>PHỤ LỤC 2a</w:t>
      </w:r>
      <w:bookmarkEnd w:id="2"/>
    </w:p>
    <w:p w:rsidR="00007D26" w:rsidRPr="00007D26" w:rsidRDefault="00007D26" w:rsidP="00007D26">
      <w:pPr>
        <w:adjustRightInd w:val="0"/>
        <w:snapToGrid w:val="0"/>
        <w:spacing w:before="120" w:after="120" w:line="240" w:lineRule="auto"/>
        <w:jc w:val="center"/>
        <w:rPr>
          <w:rFonts w:cs="Times New Roman"/>
          <w:sz w:val="24"/>
          <w:szCs w:val="24"/>
        </w:rPr>
      </w:pPr>
      <w:bookmarkStart w:id="3" w:name="chuong_phuluc_2_1_name"/>
      <w:r w:rsidRPr="00007D26">
        <w:rPr>
          <w:rFonts w:cs="Times New Roman"/>
          <w:sz w:val="24"/>
          <w:szCs w:val="24"/>
        </w:rPr>
        <w:t>PROPOSED METHODOLOGY FORM</w:t>
      </w:r>
      <w:bookmarkEnd w:id="3"/>
      <w:r w:rsidRPr="00007D26">
        <w:rPr>
          <w:rFonts w:cs="Times New Roman"/>
          <w:sz w:val="24"/>
          <w:szCs w:val="24"/>
        </w:rPr>
        <w:br/>
      </w:r>
      <w:r w:rsidRPr="00007D26">
        <w:rPr>
          <w:rFonts w:cs="Times New Roman"/>
          <w:i/>
          <w:iCs/>
          <w:sz w:val="24"/>
          <w:szCs w:val="24"/>
        </w:rPr>
        <w:t>(Kèm theo Thông tư số 17/2015/TT-BTNMT ngày 06 tháng 4 năm 2015 của Bộ trưởng Bộ Tài nguyên và Môi trường)</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Cover sheet of the Proposed Methodology Form</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Form for submitting the proposed methodology</w:t>
      </w:r>
    </w:p>
    <w:tbl>
      <w:tblPr>
        <w:tblW w:w="5000" w:type="pct"/>
        <w:jc w:val="center"/>
        <w:tblCellMar>
          <w:left w:w="0" w:type="dxa"/>
          <w:right w:w="0" w:type="dxa"/>
        </w:tblCellMar>
        <w:tblLook w:val="04A0" w:firstRow="1" w:lastRow="0" w:firstColumn="1" w:lastColumn="0" w:noHBand="0" w:noVBand="1"/>
      </w:tblPr>
      <w:tblGrid>
        <w:gridCol w:w="4055"/>
        <w:gridCol w:w="4465"/>
      </w:tblGrid>
      <w:tr w:rsidR="00007D26" w:rsidRPr="00007D26" w:rsidTr="00007D26">
        <w:trPr>
          <w:jc w:val="center"/>
        </w:trPr>
        <w:tc>
          <w:tcPr>
            <w:tcW w:w="4206" w:type="dxa"/>
            <w:tcBorders>
              <w:top w:val="single" w:sz="8" w:space="0" w:color="auto"/>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Host Country</w:t>
            </w:r>
          </w:p>
        </w:tc>
        <w:tc>
          <w:tcPr>
            <w:tcW w:w="4650"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The Socialist Republic of Viet Nam</w:t>
            </w:r>
          </w:p>
        </w:tc>
      </w:tr>
      <w:tr w:rsidR="00007D26" w:rsidRPr="00007D26" w:rsidTr="00007D26">
        <w:trPr>
          <w:jc w:val="center"/>
        </w:trPr>
        <w:tc>
          <w:tcPr>
            <w:tcW w:w="4206"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Name of the methodology proponents submitting this form</w:t>
            </w:r>
          </w:p>
        </w:tc>
        <w:tc>
          <w:tcPr>
            <w:tcW w:w="4650"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4206"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Sectoral scope(s) to which the Proposed Methodology applies</w:t>
            </w:r>
          </w:p>
        </w:tc>
        <w:tc>
          <w:tcPr>
            <w:tcW w:w="4650"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4206"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Title of the proposed methodology, and version number</w:t>
            </w:r>
          </w:p>
        </w:tc>
        <w:tc>
          <w:tcPr>
            <w:tcW w:w="4650"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4206"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List of documents to be attached to this form (please check):</w:t>
            </w:r>
          </w:p>
        </w:tc>
        <w:tc>
          <w:tcPr>
            <w:tcW w:w="4650"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The attached draft JCM-PDD:</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Additional information</w:t>
            </w:r>
          </w:p>
        </w:tc>
      </w:tr>
      <w:tr w:rsidR="00007D26" w:rsidRPr="00007D26" w:rsidTr="00007D26">
        <w:trPr>
          <w:jc w:val="center"/>
        </w:trPr>
        <w:tc>
          <w:tcPr>
            <w:tcW w:w="4206"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Date of completion</w:t>
            </w:r>
          </w:p>
        </w:tc>
        <w:tc>
          <w:tcPr>
            <w:tcW w:w="4650"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History of the proposed methodology</w:t>
      </w:r>
    </w:p>
    <w:tbl>
      <w:tblPr>
        <w:tblW w:w="5000" w:type="pct"/>
        <w:jc w:val="center"/>
        <w:tblCellMar>
          <w:left w:w="0" w:type="dxa"/>
          <w:right w:w="0" w:type="dxa"/>
        </w:tblCellMar>
        <w:tblLook w:val="04A0" w:firstRow="1" w:lastRow="0" w:firstColumn="1" w:lastColumn="0" w:noHBand="0" w:noVBand="1"/>
      </w:tblPr>
      <w:tblGrid>
        <w:gridCol w:w="1241"/>
        <w:gridCol w:w="1677"/>
        <w:gridCol w:w="5602"/>
      </w:tblGrid>
      <w:tr w:rsidR="00007D26" w:rsidRPr="00007D26" w:rsidTr="00007D26">
        <w:trPr>
          <w:jc w:val="center"/>
        </w:trPr>
        <w:tc>
          <w:tcPr>
            <w:tcW w:w="1265" w:type="dxa"/>
            <w:tcBorders>
              <w:top w:val="single" w:sz="8" w:space="0" w:color="auto"/>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Version</w:t>
            </w:r>
          </w:p>
        </w:tc>
        <w:tc>
          <w:tcPr>
            <w:tcW w:w="1740" w:type="dxa"/>
            <w:tcBorders>
              <w:top w:val="single" w:sz="8" w:space="0" w:color="auto"/>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Date</w:t>
            </w:r>
          </w:p>
        </w:tc>
        <w:tc>
          <w:tcPr>
            <w:tcW w:w="5851" w:type="dxa"/>
            <w:tcBorders>
              <w:top w:val="single" w:sz="8" w:space="0" w:color="auto"/>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Contents revised</w:t>
            </w:r>
          </w:p>
        </w:tc>
      </w:tr>
      <w:tr w:rsidR="00007D26" w:rsidRPr="00007D26" w:rsidTr="00007D26">
        <w:trPr>
          <w:jc w:val="center"/>
        </w:trPr>
        <w:tc>
          <w:tcPr>
            <w:tcW w:w="1265"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1740"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5851"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1265"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1740"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5851"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1265"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1740"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5851"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A. Title of the methodology</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B. Terms and definitions</w:t>
      </w:r>
    </w:p>
    <w:tbl>
      <w:tblPr>
        <w:tblW w:w="5000" w:type="pct"/>
        <w:jc w:val="center"/>
        <w:tblCellMar>
          <w:left w:w="0" w:type="dxa"/>
          <w:right w:w="0" w:type="dxa"/>
        </w:tblCellMar>
        <w:tblLook w:val="04A0" w:firstRow="1" w:lastRow="0" w:firstColumn="1" w:lastColumn="0" w:noHBand="0" w:noVBand="1"/>
      </w:tblPr>
      <w:tblGrid>
        <w:gridCol w:w="3008"/>
        <w:gridCol w:w="5512"/>
      </w:tblGrid>
      <w:tr w:rsidR="00007D26" w:rsidRPr="00007D26" w:rsidTr="00007D26">
        <w:trPr>
          <w:jc w:val="center"/>
        </w:trPr>
        <w:tc>
          <w:tcPr>
            <w:tcW w:w="3126" w:type="dxa"/>
            <w:tcBorders>
              <w:top w:val="single" w:sz="8" w:space="0" w:color="auto"/>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Terms</w:t>
            </w:r>
          </w:p>
        </w:tc>
        <w:tc>
          <w:tcPr>
            <w:tcW w:w="5730" w:type="dxa"/>
            <w:tcBorders>
              <w:top w:val="single" w:sz="8" w:space="0" w:color="auto"/>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Definitions</w:t>
            </w:r>
          </w:p>
        </w:tc>
      </w:tr>
      <w:tr w:rsidR="00007D26" w:rsidRPr="00007D26" w:rsidTr="00007D26">
        <w:trPr>
          <w:jc w:val="center"/>
        </w:trPr>
        <w:tc>
          <w:tcPr>
            <w:tcW w:w="3126"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5730"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C. Summary of the methodology</w:t>
      </w:r>
    </w:p>
    <w:tbl>
      <w:tblPr>
        <w:tblW w:w="5000" w:type="pct"/>
        <w:jc w:val="center"/>
        <w:tblCellMar>
          <w:left w:w="0" w:type="dxa"/>
          <w:right w:w="0" w:type="dxa"/>
        </w:tblCellMar>
        <w:tblLook w:val="04A0" w:firstRow="1" w:lastRow="0" w:firstColumn="1" w:lastColumn="0" w:noHBand="0" w:noVBand="1"/>
      </w:tblPr>
      <w:tblGrid>
        <w:gridCol w:w="3362"/>
        <w:gridCol w:w="5158"/>
      </w:tblGrid>
      <w:tr w:rsidR="00007D26" w:rsidRPr="00007D26" w:rsidTr="00007D26">
        <w:trPr>
          <w:jc w:val="center"/>
        </w:trPr>
        <w:tc>
          <w:tcPr>
            <w:tcW w:w="3478" w:type="dxa"/>
            <w:tcBorders>
              <w:top w:val="single" w:sz="8" w:space="0" w:color="auto"/>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Terms</w:t>
            </w:r>
          </w:p>
        </w:tc>
        <w:tc>
          <w:tcPr>
            <w:tcW w:w="5378"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Summary</w:t>
            </w:r>
          </w:p>
        </w:tc>
      </w:tr>
      <w:tr w:rsidR="00007D26" w:rsidRPr="00007D26" w:rsidTr="00007D26">
        <w:trPr>
          <w:jc w:val="center"/>
        </w:trPr>
        <w:tc>
          <w:tcPr>
            <w:tcW w:w="3478"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i/>
                <w:iCs/>
                <w:sz w:val="24"/>
                <w:szCs w:val="24"/>
              </w:rPr>
              <w:t>GHG emission reduction measures</w:t>
            </w:r>
          </w:p>
        </w:tc>
        <w:tc>
          <w:tcPr>
            <w:tcW w:w="5378"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3478"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i/>
                <w:iCs/>
                <w:sz w:val="24"/>
                <w:szCs w:val="24"/>
              </w:rPr>
              <w:t>Calculation of reference emissions</w:t>
            </w:r>
          </w:p>
        </w:tc>
        <w:tc>
          <w:tcPr>
            <w:tcW w:w="5378"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3478"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i/>
                <w:iCs/>
                <w:sz w:val="24"/>
                <w:szCs w:val="24"/>
              </w:rPr>
              <w:t>Calculation of project emissions</w:t>
            </w:r>
          </w:p>
        </w:tc>
        <w:tc>
          <w:tcPr>
            <w:tcW w:w="5378"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3478"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i/>
                <w:iCs/>
                <w:sz w:val="24"/>
                <w:szCs w:val="24"/>
              </w:rPr>
              <w:t>Monitoring parameters</w:t>
            </w:r>
          </w:p>
        </w:tc>
        <w:tc>
          <w:tcPr>
            <w:tcW w:w="5378"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D. Eligibility criteria</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This methodology is applicable to projects that satisfy all of the following criteria.</w:t>
      </w:r>
    </w:p>
    <w:tbl>
      <w:tblPr>
        <w:tblW w:w="5000" w:type="pct"/>
        <w:jc w:val="center"/>
        <w:tblCellMar>
          <w:left w:w="0" w:type="dxa"/>
          <w:right w:w="0" w:type="dxa"/>
        </w:tblCellMar>
        <w:tblLook w:val="04A0" w:firstRow="1" w:lastRow="0" w:firstColumn="1" w:lastColumn="0" w:noHBand="0" w:noVBand="1"/>
      </w:tblPr>
      <w:tblGrid>
        <w:gridCol w:w="1363"/>
        <w:gridCol w:w="7157"/>
      </w:tblGrid>
      <w:tr w:rsidR="00007D26" w:rsidRPr="00007D26" w:rsidTr="00007D26">
        <w:trPr>
          <w:jc w:val="center"/>
        </w:trPr>
        <w:tc>
          <w:tcPr>
            <w:tcW w:w="1384" w:type="dxa"/>
            <w:tcBorders>
              <w:top w:val="single" w:sz="8" w:space="0" w:color="auto"/>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Criterion 1</w:t>
            </w:r>
          </w:p>
        </w:tc>
        <w:tc>
          <w:tcPr>
            <w:tcW w:w="7472"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1384"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Criterion 2</w:t>
            </w:r>
          </w:p>
        </w:tc>
        <w:tc>
          <w:tcPr>
            <w:tcW w:w="7472"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r w:rsidR="00007D26" w:rsidRPr="00007D26" w:rsidTr="00007D26">
        <w:trPr>
          <w:jc w:val="center"/>
        </w:trPr>
        <w:tc>
          <w:tcPr>
            <w:tcW w:w="1384"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Criterion 3</w:t>
            </w:r>
          </w:p>
        </w:tc>
        <w:tc>
          <w:tcPr>
            <w:tcW w:w="7472"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E. Emission Sources and GHG types</w:t>
      </w:r>
    </w:p>
    <w:tbl>
      <w:tblPr>
        <w:tblW w:w="5000" w:type="pct"/>
        <w:jc w:val="center"/>
        <w:tblCellMar>
          <w:left w:w="0" w:type="dxa"/>
          <w:right w:w="0" w:type="dxa"/>
        </w:tblCellMar>
        <w:tblLook w:val="04A0" w:firstRow="1" w:lastRow="0" w:firstColumn="1" w:lastColumn="0" w:noHBand="0" w:noVBand="1"/>
      </w:tblPr>
      <w:tblGrid>
        <w:gridCol w:w="6473"/>
        <w:gridCol w:w="2047"/>
      </w:tblGrid>
      <w:tr w:rsidR="00007D26" w:rsidRPr="00007D26" w:rsidTr="00007D26">
        <w:trPr>
          <w:jc w:val="center"/>
        </w:trPr>
        <w:tc>
          <w:tcPr>
            <w:tcW w:w="8856" w:type="dxa"/>
            <w:gridSpan w:val="2"/>
            <w:tcBorders>
              <w:top w:val="single" w:sz="8" w:space="0" w:color="auto"/>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Reference emissions</w:t>
            </w:r>
          </w:p>
        </w:tc>
      </w:tr>
      <w:tr w:rsidR="00007D26" w:rsidRPr="00007D26" w:rsidTr="00007D26">
        <w:trPr>
          <w:jc w:val="center"/>
        </w:trPr>
        <w:tc>
          <w:tcPr>
            <w:tcW w:w="6737"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Emission sources</w:t>
            </w:r>
          </w:p>
        </w:tc>
        <w:tc>
          <w:tcPr>
            <w:tcW w:w="211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GHG types</w:t>
            </w:r>
          </w:p>
        </w:tc>
      </w:tr>
      <w:tr w:rsidR="00007D26" w:rsidRPr="00007D26" w:rsidTr="00007D26">
        <w:trPr>
          <w:jc w:val="center"/>
        </w:trPr>
        <w:tc>
          <w:tcPr>
            <w:tcW w:w="6737"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211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6737"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211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6737"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211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6737"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211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6737"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211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6737"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211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6737"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211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8856" w:type="dxa"/>
            <w:gridSpan w:val="2"/>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Project emissions</w:t>
            </w:r>
          </w:p>
        </w:tc>
      </w:tr>
      <w:tr w:rsidR="00007D26" w:rsidRPr="00007D26" w:rsidTr="00007D26">
        <w:trPr>
          <w:jc w:val="center"/>
        </w:trPr>
        <w:tc>
          <w:tcPr>
            <w:tcW w:w="6737"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Emission sources</w:t>
            </w:r>
          </w:p>
        </w:tc>
        <w:tc>
          <w:tcPr>
            <w:tcW w:w="211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GHG types</w:t>
            </w:r>
          </w:p>
        </w:tc>
      </w:tr>
      <w:tr w:rsidR="00007D26" w:rsidRPr="00007D26" w:rsidTr="00007D26">
        <w:trPr>
          <w:jc w:val="center"/>
        </w:trPr>
        <w:tc>
          <w:tcPr>
            <w:tcW w:w="6737"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211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6737"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211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6737"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211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6737"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211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6737"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211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6737"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211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6737"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211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F. Establishment and calculation of reference emissions</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F.1. Establishment of reference emissions</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F.2. Calculation of reference emissions</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G. Calculation of project emissions</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H. Calculation of emissions reductions</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ER</w:t>
      </w:r>
      <w:r w:rsidRPr="00007D26">
        <w:rPr>
          <w:rFonts w:cs="Times New Roman"/>
          <w:sz w:val="24"/>
          <w:szCs w:val="24"/>
          <w:vertAlign w:val="subscript"/>
        </w:rPr>
        <w:t>y</w:t>
      </w:r>
      <w:r w:rsidRPr="00007D26">
        <w:rPr>
          <w:rFonts w:cs="Times New Roman"/>
          <w:sz w:val="24"/>
          <w:szCs w:val="24"/>
        </w:rPr>
        <w:t xml:space="preserve"> = RE</w:t>
      </w:r>
      <w:r w:rsidRPr="00007D26">
        <w:rPr>
          <w:rFonts w:cs="Times New Roman"/>
          <w:sz w:val="24"/>
          <w:szCs w:val="24"/>
          <w:vertAlign w:val="subscript"/>
        </w:rPr>
        <w:t>y</w:t>
      </w:r>
      <w:r w:rsidRPr="00007D26">
        <w:rPr>
          <w:rFonts w:cs="Times New Roman"/>
          <w:sz w:val="24"/>
          <w:szCs w:val="24"/>
        </w:rPr>
        <w:t xml:space="preserve"> - PE</w:t>
      </w:r>
      <w:r w:rsidRPr="00007D26">
        <w:rPr>
          <w:rFonts w:cs="Times New Roman"/>
          <w:sz w:val="24"/>
          <w:szCs w:val="24"/>
          <w:vertAlign w:val="subscript"/>
        </w:rPr>
        <w:t>y</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ER</w:t>
      </w:r>
      <w:r w:rsidRPr="00007D26">
        <w:rPr>
          <w:rFonts w:cs="Times New Roman"/>
          <w:sz w:val="24"/>
          <w:szCs w:val="24"/>
          <w:vertAlign w:val="subscript"/>
        </w:rPr>
        <w:t>y</w:t>
      </w:r>
      <w:r w:rsidRPr="00007D26">
        <w:rPr>
          <w:rFonts w:cs="Times New Roman"/>
          <w:sz w:val="24"/>
          <w:szCs w:val="24"/>
        </w:rPr>
        <w:t>       GHG emission reductions in year y [tCO</w:t>
      </w:r>
      <w:r w:rsidRPr="00007D26">
        <w:rPr>
          <w:rFonts w:cs="Times New Roman"/>
          <w:sz w:val="24"/>
          <w:szCs w:val="24"/>
          <w:vertAlign w:val="subscript"/>
        </w:rPr>
        <w:t>2</w:t>
      </w:r>
      <w:r w:rsidRPr="00007D26">
        <w:rPr>
          <w:rFonts w:cs="Times New Roman"/>
          <w:sz w:val="24"/>
          <w:szCs w:val="24"/>
        </w:rPr>
        <w:t>e]</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RE</w:t>
      </w:r>
      <w:r w:rsidRPr="00007D26">
        <w:rPr>
          <w:rFonts w:cs="Times New Roman"/>
          <w:sz w:val="24"/>
          <w:szCs w:val="24"/>
          <w:vertAlign w:val="subscript"/>
        </w:rPr>
        <w:t>y</w:t>
      </w:r>
      <w:r w:rsidRPr="00007D26">
        <w:rPr>
          <w:rFonts w:cs="Times New Roman"/>
          <w:sz w:val="24"/>
          <w:szCs w:val="24"/>
        </w:rPr>
        <w:t>       Reference emissions in year y [tCO</w:t>
      </w:r>
      <w:r w:rsidRPr="00007D26">
        <w:rPr>
          <w:rFonts w:cs="Times New Roman"/>
          <w:sz w:val="24"/>
          <w:szCs w:val="24"/>
          <w:vertAlign w:val="subscript"/>
        </w:rPr>
        <w:t>2</w:t>
      </w:r>
      <w:r w:rsidRPr="00007D26">
        <w:rPr>
          <w:rFonts w:cs="Times New Roman"/>
          <w:sz w:val="24"/>
          <w:szCs w:val="24"/>
        </w:rPr>
        <w:t>e/y]</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PE</w:t>
      </w:r>
      <w:r w:rsidRPr="00007D26">
        <w:rPr>
          <w:rFonts w:cs="Times New Roman"/>
          <w:sz w:val="24"/>
          <w:szCs w:val="24"/>
          <w:vertAlign w:val="subscript"/>
        </w:rPr>
        <w:t>y</w:t>
      </w:r>
      <w:r w:rsidRPr="00007D26">
        <w:rPr>
          <w:rFonts w:cs="Times New Roman"/>
          <w:sz w:val="24"/>
          <w:szCs w:val="24"/>
        </w:rPr>
        <w:t>       Project emissions in year y [tCO</w:t>
      </w:r>
      <w:r w:rsidRPr="00007D26">
        <w:rPr>
          <w:rFonts w:cs="Times New Roman"/>
          <w:sz w:val="24"/>
          <w:szCs w:val="24"/>
          <w:vertAlign w:val="subscript"/>
        </w:rPr>
        <w:t>2</w:t>
      </w:r>
      <w:r w:rsidRPr="00007D26">
        <w:rPr>
          <w:rFonts w:cs="Times New Roman"/>
          <w:sz w:val="24"/>
          <w:szCs w:val="24"/>
        </w:rPr>
        <w:t>e/y]</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 </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 xml:space="preserve">I. Data and parameters fixed </w:t>
      </w:r>
      <w:r w:rsidRPr="00007D26">
        <w:rPr>
          <w:rFonts w:cs="Times New Roman"/>
          <w:b/>
          <w:bCs/>
          <w:i/>
          <w:iCs/>
          <w:sz w:val="24"/>
          <w:szCs w:val="24"/>
        </w:rPr>
        <w:t>ex ante</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 xml:space="preserve">The source of each data and parameter fixed </w:t>
      </w:r>
      <w:r w:rsidRPr="00007D26">
        <w:rPr>
          <w:rFonts w:cs="Times New Roman"/>
          <w:i/>
          <w:iCs/>
          <w:sz w:val="24"/>
          <w:szCs w:val="24"/>
        </w:rPr>
        <w:t>ex ante</w:t>
      </w:r>
      <w:r w:rsidRPr="00007D26">
        <w:rPr>
          <w:rFonts w:cs="Times New Roman"/>
          <w:sz w:val="24"/>
          <w:szCs w:val="24"/>
        </w:rPr>
        <w:t xml:space="preserve"> is listed as below.</w:t>
      </w:r>
    </w:p>
    <w:tbl>
      <w:tblPr>
        <w:tblW w:w="5000" w:type="pct"/>
        <w:jc w:val="center"/>
        <w:tblCellMar>
          <w:left w:w="0" w:type="dxa"/>
          <w:right w:w="0" w:type="dxa"/>
        </w:tblCellMar>
        <w:tblLook w:val="04A0" w:firstRow="1" w:lastRow="0" w:firstColumn="1" w:lastColumn="0" w:noHBand="0" w:noVBand="1"/>
      </w:tblPr>
      <w:tblGrid>
        <w:gridCol w:w="1354"/>
        <w:gridCol w:w="4211"/>
        <w:gridCol w:w="2955"/>
      </w:tblGrid>
      <w:tr w:rsidR="00007D26" w:rsidRPr="00007D26" w:rsidTr="00007D26">
        <w:trPr>
          <w:jc w:val="center"/>
        </w:trPr>
        <w:tc>
          <w:tcPr>
            <w:tcW w:w="1375" w:type="dxa"/>
            <w:tcBorders>
              <w:top w:val="single" w:sz="8" w:space="0" w:color="auto"/>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Parameter</w:t>
            </w:r>
          </w:p>
        </w:tc>
        <w:tc>
          <w:tcPr>
            <w:tcW w:w="4392" w:type="dxa"/>
            <w:tcBorders>
              <w:top w:val="single" w:sz="8" w:space="0" w:color="auto"/>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Description of data</w:t>
            </w:r>
          </w:p>
        </w:tc>
        <w:tc>
          <w:tcPr>
            <w:tcW w:w="3089" w:type="dxa"/>
            <w:tcBorders>
              <w:top w:val="single" w:sz="8" w:space="0" w:color="auto"/>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Source</w:t>
            </w:r>
          </w:p>
        </w:tc>
      </w:tr>
      <w:tr w:rsidR="00007D26" w:rsidRPr="00007D26" w:rsidTr="00007D26">
        <w:trPr>
          <w:jc w:val="center"/>
        </w:trPr>
        <w:tc>
          <w:tcPr>
            <w:tcW w:w="1375"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4392"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308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1375"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4392"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308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1375"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4392"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308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r w:rsidR="00007D26" w:rsidRPr="00007D26" w:rsidTr="00007D26">
        <w:trPr>
          <w:jc w:val="center"/>
        </w:trPr>
        <w:tc>
          <w:tcPr>
            <w:tcW w:w="1375" w:type="dxa"/>
            <w:tcBorders>
              <w:top w:val="nil"/>
              <w:left w:val="single" w:sz="8" w:space="0" w:color="auto"/>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4392"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c>
          <w:tcPr>
            <w:tcW w:w="3089" w:type="dxa"/>
            <w:tcBorders>
              <w:top w:val="nil"/>
              <w:left w:val="nil"/>
              <w:bottom w:val="single" w:sz="8" w:space="0" w:color="auto"/>
              <w:right w:val="single" w:sz="8" w:space="0" w:color="auto"/>
            </w:tcBorders>
            <w:vAlign w:val="center"/>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 </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p w:rsidR="00007D26" w:rsidRPr="00007D26" w:rsidRDefault="00007D26" w:rsidP="00007D26">
      <w:pPr>
        <w:spacing w:before="120" w:after="120" w:line="240" w:lineRule="auto"/>
        <w:rPr>
          <w:rFonts w:cs="Times New Roman"/>
          <w:sz w:val="24"/>
          <w:szCs w:val="24"/>
        </w:rPr>
        <w:sectPr w:rsidR="00007D26" w:rsidRPr="00007D26">
          <w:pgSz w:w="9980" w:h="14180"/>
          <w:pgMar w:top="720" w:right="720" w:bottom="720" w:left="720" w:header="720" w:footer="720" w:gutter="0"/>
          <w:cols w:space="720"/>
        </w:sectPr>
      </w:pP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1. Instructions for completing the Proposed Methodology Spreadsheet</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Instructions for completing the Proposed Methodology Spreadsheet are provided below. The Input Sheet of the Proposed Methodology Spreadsheet should be completed as follows. A hypothetical Input Sheet of the Proposed Methodology Spreadsheet on building energy management systems (BEMS) is inserted to enhance the clarity of these Guidelines. This is purely indicative and does not imply that the Input Sheet of the Proposed Methodology Spreadsheet is adopted.</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 </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Proposed Methodology Spreadsheet (input sheet) [Attachment to Proposed Methodology Form]</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i/>
          <w:iCs/>
          <w:sz w:val="24"/>
          <w:szCs w:val="24"/>
        </w:rPr>
        <w:t>Table 1: Parameters to be monitored ex post</w:t>
      </w:r>
    </w:p>
    <w:tbl>
      <w:tblPr>
        <w:tblW w:w="5000" w:type="pct"/>
        <w:jc w:val="center"/>
        <w:tblLayout w:type="fixed"/>
        <w:tblCellMar>
          <w:left w:w="0" w:type="dxa"/>
          <w:right w:w="0" w:type="dxa"/>
        </w:tblCellMar>
        <w:tblLook w:val="04A0" w:firstRow="1" w:lastRow="0" w:firstColumn="1" w:lastColumn="0" w:noHBand="0" w:noVBand="1"/>
      </w:tblPr>
      <w:tblGrid>
        <w:gridCol w:w="807"/>
        <w:gridCol w:w="815"/>
        <w:gridCol w:w="1353"/>
        <w:gridCol w:w="718"/>
        <w:gridCol w:w="692"/>
        <w:gridCol w:w="637"/>
        <w:gridCol w:w="780"/>
        <w:gridCol w:w="1192"/>
        <w:gridCol w:w="808"/>
        <w:gridCol w:w="718"/>
      </w:tblGrid>
      <w:tr w:rsidR="00007D26" w:rsidRPr="005F0778" w:rsidTr="00007D26">
        <w:trPr>
          <w:jc w:val="center"/>
        </w:trPr>
        <w:tc>
          <w:tcPr>
            <w:tcW w:w="807" w:type="dxa"/>
            <w:tcBorders>
              <w:top w:val="single" w:sz="8" w:space="0" w:color="auto"/>
              <w:left w:val="single" w:sz="8" w:space="0" w:color="auto"/>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(a)</w:t>
            </w:r>
          </w:p>
        </w:tc>
        <w:tc>
          <w:tcPr>
            <w:tcW w:w="815" w:type="dxa"/>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(b)</w:t>
            </w:r>
          </w:p>
        </w:tc>
        <w:tc>
          <w:tcPr>
            <w:tcW w:w="1353" w:type="dxa"/>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(c)</w:t>
            </w:r>
          </w:p>
        </w:tc>
        <w:tc>
          <w:tcPr>
            <w:tcW w:w="718" w:type="dxa"/>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(d)</w:t>
            </w:r>
          </w:p>
        </w:tc>
        <w:tc>
          <w:tcPr>
            <w:tcW w:w="692" w:type="dxa"/>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(e)</w:t>
            </w:r>
          </w:p>
        </w:tc>
        <w:tc>
          <w:tcPr>
            <w:tcW w:w="637" w:type="dxa"/>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(f)</w:t>
            </w:r>
          </w:p>
        </w:tc>
        <w:tc>
          <w:tcPr>
            <w:tcW w:w="780" w:type="dxa"/>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(g)</w:t>
            </w:r>
          </w:p>
        </w:tc>
        <w:tc>
          <w:tcPr>
            <w:tcW w:w="1192" w:type="dxa"/>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(h)</w:t>
            </w:r>
          </w:p>
        </w:tc>
        <w:tc>
          <w:tcPr>
            <w:tcW w:w="808" w:type="dxa"/>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(i)</w:t>
            </w:r>
          </w:p>
        </w:tc>
        <w:tc>
          <w:tcPr>
            <w:tcW w:w="718" w:type="dxa"/>
            <w:tcBorders>
              <w:top w:val="single" w:sz="8" w:space="0" w:color="auto"/>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(j)</w:t>
            </w:r>
          </w:p>
        </w:tc>
      </w:tr>
      <w:tr w:rsidR="00007D26" w:rsidRPr="005F0778" w:rsidTr="00007D26">
        <w:trPr>
          <w:jc w:val="center"/>
        </w:trPr>
        <w:tc>
          <w:tcPr>
            <w:tcW w:w="807" w:type="dxa"/>
            <w:tcBorders>
              <w:top w:val="nil"/>
              <w:left w:val="single" w:sz="8" w:space="0" w:color="auto"/>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Monitoring point No.</w:t>
            </w:r>
          </w:p>
        </w:tc>
        <w:tc>
          <w:tcPr>
            <w:tcW w:w="815"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Parameters</w:t>
            </w:r>
          </w:p>
        </w:tc>
        <w:tc>
          <w:tcPr>
            <w:tcW w:w="1353"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Description of data</w:t>
            </w:r>
          </w:p>
        </w:tc>
        <w:tc>
          <w:tcPr>
            <w:tcW w:w="71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Estimated Values</w:t>
            </w:r>
          </w:p>
        </w:tc>
        <w:tc>
          <w:tcPr>
            <w:tcW w:w="692"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Units</w:t>
            </w:r>
          </w:p>
        </w:tc>
        <w:tc>
          <w:tcPr>
            <w:tcW w:w="637"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Monitoring Option</w:t>
            </w:r>
          </w:p>
        </w:tc>
        <w:tc>
          <w:tcPr>
            <w:tcW w:w="780"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Source of data</w:t>
            </w:r>
          </w:p>
        </w:tc>
        <w:tc>
          <w:tcPr>
            <w:tcW w:w="1192"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Measurement methods and procedures</w:t>
            </w:r>
          </w:p>
        </w:tc>
        <w:tc>
          <w:tcPr>
            <w:tcW w:w="80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Monitoring frequency</w:t>
            </w:r>
          </w:p>
        </w:tc>
        <w:tc>
          <w:tcPr>
            <w:tcW w:w="71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b/>
                <w:bCs/>
                <w:sz w:val="18"/>
                <w:szCs w:val="24"/>
              </w:rPr>
              <w:t>Other comments</w:t>
            </w:r>
          </w:p>
        </w:tc>
      </w:tr>
      <w:tr w:rsidR="00007D26" w:rsidRPr="005F0778" w:rsidTr="00007D26">
        <w:trPr>
          <w:jc w:val="center"/>
        </w:trPr>
        <w:tc>
          <w:tcPr>
            <w:tcW w:w="807" w:type="dxa"/>
            <w:tcBorders>
              <w:top w:val="nil"/>
              <w:left w:val="single" w:sz="8" w:space="0" w:color="auto"/>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(1)</w:t>
            </w:r>
          </w:p>
        </w:tc>
        <w:tc>
          <w:tcPr>
            <w:tcW w:w="815"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PFC</w:t>
            </w:r>
            <w:r w:rsidRPr="005F0778">
              <w:rPr>
                <w:rFonts w:cs="Times New Roman"/>
                <w:sz w:val="18"/>
                <w:szCs w:val="24"/>
                <w:vertAlign w:val="subscript"/>
              </w:rPr>
              <w:t>D,y</w:t>
            </w:r>
          </w:p>
        </w:tc>
        <w:tc>
          <w:tcPr>
            <w:tcW w:w="1353"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Project diesel fuel consumption during the period of year y</w:t>
            </w:r>
          </w:p>
        </w:tc>
        <w:tc>
          <w:tcPr>
            <w:tcW w:w="71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 </w:t>
            </w:r>
          </w:p>
        </w:tc>
        <w:tc>
          <w:tcPr>
            <w:tcW w:w="692"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kl/y</w:t>
            </w:r>
          </w:p>
        </w:tc>
        <w:tc>
          <w:tcPr>
            <w:tcW w:w="637"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Option B</w:t>
            </w:r>
          </w:p>
        </w:tc>
        <w:tc>
          <w:tcPr>
            <w:tcW w:w="780"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purchase records</w:t>
            </w:r>
          </w:p>
        </w:tc>
        <w:tc>
          <w:tcPr>
            <w:tcW w:w="1192"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 Collecting purchase amount from retailer invoices and inputting to a spreadsheet manually</w:t>
            </w:r>
          </w:p>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 Project deputy managers double check the input data with invoices every 6 months</w:t>
            </w:r>
          </w:p>
        </w:tc>
        <w:tc>
          <w:tcPr>
            <w:tcW w:w="80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once a month</w:t>
            </w:r>
          </w:p>
        </w:tc>
        <w:tc>
          <w:tcPr>
            <w:tcW w:w="71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 </w:t>
            </w:r>
          </w:p>
        </w:tc>
      </w:tr>
      <w:tr w:rsidR="00007D26" w:rsidRPr="005F0778" w:rsidTr="00007D26">
        <w:trPr>
          <w:jc w:val="center"/>
        </w:trPr>
        <w:tc>
          <w:tcPr>
            <w:tcW w:w="807" w:type="dxa"/>
            <w:tcBorders>
              <w:top w:val="nil"/>
              <w:left w:val="single" w:sz="8" w:space="0" w:color="auto"/>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(2)</w:t>
            </w:r>
          </w:p>
        </w:tc>
        <w:tc>
          <w:tcPr>
            <w:tcW w:w="815"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PEC</w:t>
            </w:r>
            <w:r w:rsidRPr="005F0778">
              <w:rPr>
                <w:rFonts w:cs="Times New Roman"/>
                <w:sz w:val="18"/>
                <w:szCs w:val="24"/>
                <w:vertAlign w:val="subscript"/>
              </w:rPr>
              <w:t>y</w:t>
            </w:r>
          </w:p>
        </w:tc>
        <w:tc>
          <w:tcPr>
            <w:tcW w:w="1353"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Project electricity consumption  during the period of year y</w:t>
            </w:r>
          </w:p>
        </w:tc>
        <w:tc>
          <w:tcPr>
            <w:tcW w:w="71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 </w:t>
            </w:r>
          </w:p>
        </w:tc>
        <w:tc>
          <w:tcPr>
            <w:tcW w:w="692"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MWh/y</w:t>
            </w:r>
          </w:p>
        </w:tc>
        <w:tc>
          <w:tcPr>
            <w:tcW w:w="637"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Option C</w:t>
            </w:r>
          </w:p>
        </w:tc>
        <w:tc>
          <w:tcPr>
            <w:tcW w:w="780"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monitored data</w:t>
            </w:r>
          </w:p>
        </w:tc>
        <w:tc>
          <w:tcPr>
            <w:tcW w:w="1192"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 Collecting electricity consumption data with validated/calibrated electricity monitoring devices and inputting to a spreadsheet electrically</w:t>
            </w:r>
          </w:p>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 Verified monitoring devices are installed and they are calibrated once a year.</w:t>
            </w:r>
          </w:p>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 Verification and calibration shall meet international standard on corresponding monitoring devices.</w:t>
            </w:r>
          </w:p>
        </w:tc>
        <w:tc>
          <w:tcPr>
            <w:tcW w:w="80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continuous</w:t>
            </w:r>
          </w:p>
        </w:tc>
        <w:tc>
          <w:tcPr>
            <w:tcW w:w="71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 </w:t>
            </w:r>
          </w:p>
        </w:tc>
      </w:tr>
      <w:tr w:rsidR="00007D26" w:rsidRPr="005F0778" w:rsidTr="00007D26">
        <w:trPr>
          <w:jc w:val="center"/>
        </w:trPr>
        <w:tc>
          <w:tcPr>
            <w:tcW w:w="807" w:type="dxa"/>
            <w:tcBorders>
              <w:top w:val="nil"/>
              <w:left w:val="single" w:sz="8" w:space="0" w:color="auto"/>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(3)</w:t>
            </w:r>
          </w:p>
        </w:tc>
        <w:tc>
          <w:tcPr>
            <w:tcW w:w="815"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PFC</w:t>
            </w:r>
            <w:r w:rsidRPr="005F0778">
              <w:rPr>
                <w:rFonts w:cs="Times New Roman"/>
                <w:sz w:val="18"/>
                <w:szCs w:val="24"/>
                <w:vertAlign w:val="subscript"/>
              </w:rPr>
              <w:t>L,y</w:t>
            </w:r>
          </w:p>
        </w:tc>
        <w:tc>
          <w:tcPr>
            <w:tcW w:w="1353"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Project LPG consumption during the period of year y</w:t>
            </w:r>
          </w:p>
        </w:tc>
        <w:tc>
          <w:tcPr>
            <w:tcW w:w="71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 </w:t>
            </w:r>
          </w:p>
        </w:tc>
        <w:tc>
          <w:tcPr>
            <w:tcW w:w="692"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t/y</w:t>
            </w:r>
          </w:p>
        </w:tc>
        <w:tc>
          <w:tcPr>
            <w:tcW w:w="637"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c>
          <w:tcPr>
            <w:tcW w:w="780"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c>
          <w:tcPr>
            <w:tcW w:w="1192"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c>
          <w:tcPr>
            <w:tcW w:w="80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c>
          <w:tcPr>
            <w:tcW w:w="71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r>
      <w:tr w:rsidR="00007D26" w:rsidRPr="005F0778" w:rsidTr="00007D26">
        <w:trPr>
          <w:jc w:val="center"/>
        </w:trPr>
        <w:tc>
          <w:tcPr>
            <w:tcW w:w="807" w:type="dxa"/>
            <w:tcBorders>
              <w:top w:val="nil"/>
              <w:left w:val="single" w:sz="8" w:space="0" w:color="auto"/>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(4)</w:t>
            </w:r>
          </w:p>
        </w:tc>
        <w:tc>
          <w:tcPr>
            <w:tcW w:w="815"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PFC</w:t>
            </w:r>
            <w:r w:rsidRPr="005F0778">
              <w:rPr>
                <w:rFonts w:cs="Times New Roman"/>
                <w:sz w:val="18"/>
                <w:szCs w:val="24"/>
                <w:vertAlign w:val="subscript"/>
              </w:rPr>
              <w:t>N,y</w:t>
            </w:r>
          </w:p>
        </w:tc>
        <w:tc>
          <w:tcPr>
            <w:tcW w:w="1353"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Project natural gas consumption during the period of year y</w:t>
            </w:r>
          </w:p>
        </w:tc>
        <w:tc>
          <w:tcPr>
            <w:tcW w:w="71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 </w:t>
            </w:r>
          </w:p>
        </w:tc>
        <w:tc>
          <w:tcPr>
            <w:tcW w:w="692"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1000 Nm</w:t>
            </w:r>
            <w:r w:rsidRPr="005F0778">
              <w:rPr>
                <w:rFonts w:cs="Times New Roman"/>
                <w:sz w:val="18"/>
                <w:szCs w:val="24"/>
                <w:vertAlign w:val="superscript"/>
              </w:rPr>
              <w:t>3</w:t>
            </w:r>
            <w:r w:rsidRPr="005F0778">
              <w:rPr>
                <w:rFonts w:cs="Times New Roman"/>
                <w:sz w:val="18"/>
                <w:szCs w:val="24"/>
              </w:rPr>
              <w:t>/y</w:t>
            </w:r>
          </w:p>
        </w:tc>
        <w:tc>
          <w:tcPr>
            <w:tcW w:w="637"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c>
          <w:tcPr>
            <w:tcW w:w="780"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c>
          <w:tcPr>
            <w:tcW w:w="1192"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c>
          <w:tcPr>
            <w:tcW w:w="80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c>
          <w:tcPr>
            <w:tcW w:w="71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r>
      <w:tr w:rsidR="00007D26" w:rsidRPr="005F0778" w:rsidTr="00007D26">
        <w:trPr>
          <w:jc w:val="center"/>
        </w:trPr>
        <w:tc>
          <w:tcPr>
            <w:tcW w:w="807" w:type="dxa"/>
            <w:tcBorders>
              <w:top w:val="nil"/>
              <w:left w:val="single" w:sz="8" w:space="0" w:color="auto"/>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jc w:val="center"/>
              <w:rPr>
                <w:rFonts w:cs="Times New Roman"/>
                <w:sz w:val="18"/>
                <w:szCs w:val="24"/>
              </w:rPr>
            </w:pPr>
            <w:r w:rsidRPr="005F0778">
              <w:rPr>
                <w:rFonts w:cs="Times New Roman"/>
                <w:sz w:val="18"/>
                <w:szCs w:val="24"/>
              </w:rPr>
              <w:t>(5)</w:t>
            </w:r>
          </w:p>
        </w:tc>
        <w:tc>
          <w:tcPr>
            <w:tcW w:w="815"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PFC</w:t>
            </w:r>
            <w:r w:rsidRPr="005F0778">
              <w:rPr>
                <w:rFonts w:cs="Times New Roman"/>
                <w:sz w:val="18"/>
                <w:szCs w:val="24"/>
                <w:vertAlign w:val="subscript"/>
              </w:rPr>
              <w:t>k,y</w:t>
            </w:r>
          </w:p>
        </w:tc>
        <w:tc>
          <w:tcPr>
            <w:tcW w:w="1353"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Project kerosene consumption during the period of year y</w:t>
            </w:r>
          </w:p>
        </w:tc>
        <w:tc>
          <w:tcPr>
            <w:tcW w:w="71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 </w:t>
            </w:r>
          </w:p>
        </w:tc>
        <w:tc>
          <w:tcPr>
            <w:tcW w:w="692"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kl/y</w:t>
            </w:r>
          </w:p>
        </w:tc>
        <w:tc>
          <w:tcPr>
            <w:tcW w:w="637"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c>
          <w:tcPr>
            <w:tcW w:w="780"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c>
          <w:tcPr>
            <w:tcW w:w="1192"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c>
          <w:tcPr>
            <w:tcW w:w="80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c>
          <w:tcPr>
            <w:tcW w:w="718" w:type="dxa"/>
            <w:tcBorders>
              <w:top w:val="nil"/>
              <w:left w:val="nil"/>
              <w:bottom w:val="single" w:sz="8" w:space="0" w:color="auto"/>
              <w:right w:val="single" w:sz="8" w:space="0" w:color="auto"/>
            </w:tcBorders>
            <w:vAlign w:val="center"/>
            <w:hideMark/>
          </w:tcPr>
          <w:p w:rsidR="00007D26" w:rsidRPr="005F0778" w:rsidRDefault="00007D26" w:rsidP="00007D26">
            <w:pPr>
              <w:adjustRightInd w:val="0"/>
              <w:snapToGrid w:val="0"/>
              <w:spacing w:before="120" w:after="120" w:line="240" w:lineRule="auto"/>
              <w:rPr>
                <w:rFonts w:cs="Times New Roman"/>
                <w:sz w:val="18"/>
                <w:szCs w:val="24"/>
              </w:rPr>
            </w:pPr>
            <w:r w:rsidRPr="005F0778">
              <w:rPr>
                <w:rFonts w:cs="Times New Roman"/>
                <w:sz w:val="18"/>
                <w:szCs w:val="24"/>
              </w:rPr>
              <w:t>N/A</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i/>
          <w:iCs/>
          <w:sz w:val="24"/>
          <w:szCs w:val="24"/>
        </w:rPr>
        <w:t>Table 2: Project-specific parameters to be fixed ex ante</w:t>
      </w:r>
    </w:p>
    <w:tbl>
      <w:tblPr>
        <w:tblW w:w="5000" w:type="pct"/>
        <w:jc w:val="center"/>
        <w:tblCellMar>
          <w:left w:w="0" w:type="dxa"/>
          <w:right w:w="0" w:type="dxa"/>
        </w:tblCellMar>
        <w:tblLook w:val="04A0" w:firstRow="1" w:lastRow="0" w:firstColumn="1" w:lastColumn="0" w:noHBand="0" w:noVBand="1"/>
      </w:tblPr>
      <w:tblGrid>
        <w:gridCol w:w="1235"/>
        <w:gridCol w:w="1737"/>
        <w:gridCol w:w="1091"/>
        <w:gridCol w:w="609"/>
        <w:gridCol w:w="2443"/>
        <w:gridCol w:w="1405"/>
      </w:tblGrid>
      <w:tr w:rsidR="00007D26" w:rsidRPr="00007D26" w:rsidTr="00007D26">
        <w:trPr>
          <w:jc w:val="center"/>
        </w:trPr>
        <w:tc>
          <w:tcPr>
            <w:tcW w:w="1306" w:type="dxa"/>
            <w:tcBorders>
              <w:top w:val="single" w:sz="8" w:space="0" w:color="auto"/>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(a)</w:t>
            </w:r>
          </w:p>
        </w:tc>
        <w:tc>
          <w:tcPr>
            <w:tcW w:w="2869"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(b)</w:t>
            </w:r>
          </w:p>
        </w:tc>
        <w:tc>
          <w:tcPr>
            <w:tcW w:w="1172"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(c)</w:t>
            </w:r>
          </w:p>
        </w:tc>
        <w:tc>
          <w:tcPr>
            <w:tcW w:w="716"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(d)</w:t>
            </w:r>
          </w:p>
        </w:tc>
        <w:tc>
          <w:tcPr>
            <w:tcW w:w="4814"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(e)</w:t>
            </w:r>
          </w:p>
        </w:tc>
        <w:tc>
          <w:tcPr>
            <w:tcW w:w="2299"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(f)</w:t>
            </w:r>
          </w:p>
        </w:tc>
      </w:tr>
      <w:tr w:rsidR="00007D26" w:rsidRPr="00007D26" w:rsidTr="00007D26">
        <w:trPr>
          <w:jc w:val="center"/>
        </w:trPr>
        <w:tc>
          <w:tcPr>
            <w:tcW w:w="1306"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Parameters</w:t>
            </w:r>
          </w:p>
        </w:tc>
        <w:tc>
          <w:tcPr>
            <w:tcW w:w="2869"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Description of data</w:t>
            </w:r>
          </w:p>
        </w:tc>
        <w:tc>
          <w:tcPr>
            <w:tcW w:w="1172"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Estimated Values</w:t>
            </w:r>
          </w:p>
        </w:tc>
        <w:tc>
          <w:tcPr>
            <w:tcW w:w="716"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Units</w:t>
            </w:r>
          </w:p>
        </w:tc>
        <w:tc>
          <w:tcPr>
            <w:tcW w:w="4814"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Source of data</w:t>
            </w:r>
          </w:p>
        </w:tc>
        <w:tc>
          <w:tcPr>
            <w:tcW w:w="2299"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Other comments</w:t>
            </w:r>
          </w:p>
        </w:tc>
      </w:tr>
      <w:tr w:rsidR="00007D26" w:rsidRPr="00007D26" w:rsidTr="00007D26">
        <w:trPr>
          <w:jc w:val="center"/>
        </w:trPr>
        <w:tc>
          <w:tcPr>
            <w:tcW w:w="1306"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EER</w:t>
            </w:r>
            <w:r w:rsidRPr="00007D26">
              <w:rPr>
                <w:rFonts w:cs="Times New Roman"/>
                <w:sz w:val="24"/>
                <w:szCs w:val="24"/>
                <w:vertAlign w:val="subscript"/>
              </w:rPr>
              <w:t>office</w:t>
            </w:r>
          </w:p>
        </w:tc>
        <w:tc>
          <w:tcPr>
            <w:tcW w:w="2869"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Percentage of improvement in energy consumption efficiency for [Office Building] using BEMS</w:t>
            </w:r>
          </w:p>
        </w:tc>
        <w:tc>
          <w:tcPr>
            <w:tcW w:w="1172"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c>
          <w:tcPr>
            <w:tcW w:w="716"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w:t>
            </w:r>
          </w:p>
        </w:tc>
        <w:tc>
          <w:tcPr>
            <w:tcW w:w="4814"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Past records of 30 similar size office buildings for the period of 2008-2012 measured by the project participant, BEMS provider.</w:t>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Data set of each building has the data of before and after BEMS implementation at least for one year respectively.</w:t>
            </w:r>
          </w:p>
        </w:tc>
        <w:tc>
          <w:tcPr>
            <w:tcW w:w="2299"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i/>
          <w:iCs/>
          <w:sz w:val="24"/>
          <w:szCs w:val="24"/>
        </w:rPr>
        <w:t>Table 3: Ex-ante estimation of CO</w:t>
      </w:r>
      <w:r w:rsidRPr="00007D26">
        <w:rPr>
          <w:rFonts w:cs="Times New Roman"/>
          <w:b/>
          <w:bCs/>
          <w:i/>
          <w:iCs/>
          <w:sz w:val="24"/>
          <w:szCs w:val="24"/>
          <w:vertAlign w:val="subscript"/>
        </w:rPr>
        <w:t>2</w:t>
      </w:r>
      <w:r w:rsidRPr="00007D26">
        <w:rPr>
          <w:rFonts w:cs="Times New Roman"/>
          <w:b/>
          <w:bCs/>
          <w:i/>
          <w:iCs/>
          <w:sz w:val="24"/>
          <w:szCs w:val="24"/>
        </w:rPr>
        <w:t xml:space="preserve"> emission reductions</w:t>
      </w:r>
    </w:p>
    <w:tbl>
      <w:tblPr>
        <w:tblW w:w="5000" w:type="pct"/>
        <w:jc w:val="center"/>
        <w:tblCellMar>
          <w:left w:w="0" w:type="dxa"/>
          <w:right w:w="0" w:type="dxa"/>
        </w:tblCellMar>
        <w:tblLook w:val="04A0" w:firstRow="1" w:lastRow="0" w:firstColumn="1" w:lastColumn="0" w:noHBand="0" w:noVBand="1"/>
      </w:tblPr>
      <w:tblGrid>
        <w:gridCol w:w="3759"/>
        <w:gridCol w:w="4761"/>
      </w:tblGrid>
      <w:tr w:rsidR="00007D26" w:rsidRPr="00007D26" w:rsidTr="00007D26">
        <w:trPr>
          <w:jc w:val="center"/>
        </w:trPr>
        <w:tc>
          <w:tcPr>
            <w:tcW w:w="2748" w:type="dxa"/>
            <w:tcBorders>
              <w:top w:val="single" w:sz="8" w:space="0" w:color="auto"/>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CO</w:t>
            </w:r>
            <w:r w:rsidRPr="00007D26">
              <w:rPr>
                <w:rFonts w:cs="Times New Roman"/>
                <w:b/>
                <w:bCs/>
                <w:sz w:val="24"/>
                <w:szCs w:val="24"/>
                <w:vertAlign w:val="subscript"/>
              </w:rPr>
              <w:t>2</w:t>
            </w:r>
            <w:r w:rsidRPr="00007D26">
              <w:rPr>
                <w:rFonts w:cs="Times New Roman"/>
                <w:b/>
                <w:bCs/>
                <w:sz w:val="24"/>
                <w:szCs w:val="24"/>
              </w:rPr>
              <w:t xml:space="preserve"> emission reductions</w:t>
            </w:r>
          </w:p>
        </w:tc>
        <w:tc>
          <w:tcPr>
            <w:tcW w:w="3480"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b/>
                <w:bCs/>
                <w:sz w:val="24"/>
                <w:szCs w:val="24"/>
              </w:rPr>
              <w:t>Units</w:t>
            </w:r>
          </w:p>
        </w:tc>
      </w:tr>
      <w:tr w:rsidR="00007D26" w:rsidRPr="00007D26" w:rsidTr="00007D26">
        <w:trPr>
          <w:jc w:val="center"/>
        </w:trPr>
        <w:tc>
          <w:tcPr>
            <w:tcW w:w="2748"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0</w:t>
            </w:r>
          </w:p>
        </w:tc>
        <w:tc>
          <w:tcPr>
            <w:tcW w:w="3480"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sz w:val="24"/>
                <w:szCs w:val="24"/>
              </w:rPr>
              <w:t>tCO</w:t>
            </w:r>
            <w:r w:rsidRPr="00007D26">
              <w:rPr>
                <w:rFonts w:cs="Times New Roman"/>
                <w:sz w:val="24"/>
                <w:szCs w:val="24"/>
                <w:vertAlign w:val="subscript"/>
              </w:rPr>
              <w:t>2</w:t>
            </w:r>
            <w:r w:rsidRPr="00007D26">
              <w:rPr>
                <w:rFonts w:cs="Times New Roman"/>
                <w:sz w:val="24"/>
                <w:szCs w:val="24"/>
              </w:rPr>
              <w:t>/y</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b/>
          <w:bCs/>
          <w:sz w:val="24"/>
          <w:szCs w:val="24"/>
        </w:rPr>
        <w:t>[Monitoring option]</w:t>
      </w:r>
    </w:p>
    <w:tbl>
      <w:tblPr>
        <w:tblW w:w="5000" w:type="pct"/>
        <w:jc w:val="center"/>
        <w:tblCellMar>
          <w:left w:w="0" w:type="dxa"/>
          <w:right w:w="0" w:type="dxa"/>
        </w:tblCellMar>
        <w:tblLook w:val="04A0" w:firstRow="1" w:lastRow="0" w:firstColumn="1" w:lastColumn="0" w:noHBand="0" w:noVBand="1"/>
      </w:tblPr>
      <w:tblGrid>
        <w:gridCol w:w="1186"/>
        <w:gridCol w:w="7334"/>
      </w:tblGrid>
      <w:tr w:rsidR="00007D26" w:rsidRPr="00007D26" w:rsidTr="00007D26">
        <w:trPr>
          <w:jc w:val="center"/>
        </w:trPr>
        <w:tc>
          <w:tcPr>
            <w:tcW w:w="1548" w:type="dxa"/>
            <w:tcBorders>
              <w:top w:val="single" w:sz="8" w:space="0" w:color="auto"/>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Option A</w:t>
            </w:r>
          </w:p>
        </w:tc>
        <w:tc>
          <w:tcPr>
            <w:tcW w:w="11628" w:type="dxa"/>
            <w:tcBorders>
              <w:top w:val="single" w:sz="8" w:space="0" w:color="auto"/>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Based on public data which is measured by entities other than the project participants (Data used: publicly recognized data such as statistical data and specifications)</w:t>
            </w:r>
          </w:p>
        </w:tc>
      </w:tr>
      <w:tr w:rsidR="00007D26" w:rsidRPr="00007D26" w:rsidTr="00007D26">
        <w:trPr>
          <w:jc w:val="center"/>
        </w:trPr>
        <w:tc>
          <w:tcPr>
            <w:tcW w:w="1548"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Option B</w:t>
            </w:r>
          </w:p>
        </w:tc>
        <w:tc>
          <w:tcPr>
            <w:tcW w:w="11628"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Based on the amount of transaction which is measured directly using measuring equipments (Data used: commercial evidence such as invoices)</w:t>
            </w:r>
          </w:p>
        </w:tc>
      </w:tr>
      <w:tr w:rsidR="00007D26" w:rsidRPr="00007D26" w:rsidTr="00007D26">
        <w:trPr>
          <w:jc w:val="center"/>
        </w:trPr>
        <w:tc>
          <w:tcPr>
            <w:tcW w:w="1548" w:type="dxa"/>
            <w:tcBorders>
              <w:top w:val="nil"/>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Option C</w:t>
            </w:r>
          </w:p>
        </w:tc>
        <w:tc>
          <w:tcPr>
            <w:tcW w:w="11628" w:type="dxa"/>
            <w:tcBorders>
              <w:top w:val="nil"/>
              <w:left w:val="nil"/>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Based on the actual measurement using measuring equipments (Data used: measured values)</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p w:rsidR="00007D26" w:rsidRPr="00007D26" w:rsidRDefault="00007D26" w:rsidP="00007D26">
      <w:pPr>
        <w:spacing w:before="120" w:after="120" w:line="240" w:lineRule="auto"/>
        <w:rPr>
          <w:rFonts w:cs="Times New Roman"/>
          <w:sz w:val="24"/>
          <w:szCs w:val="24"/>
        </w:rPr>
        <w:sectPr w:rsidR="00007D26" w:rsidRPr="00007D26">
          <w:pgSz w:w="9980" w:h="14180"/>
          <w:pgMar w:top="720" w:right="720" w:bottom="720" w:left="720" w:header="720" w:footer="720" w:gutter="0"/>
          <w:cols w:space="720"/>
        </w:sectPr>
      </w:pPr>
      <w:r w:rsidRPr="00007D26">
        <w:rPr>
          <w:rFonts w:cs="Times New Roman"/>
          <w:sz w:val="24"/>
          <w:szCs w:val="24"/>
        </w:rPr>
        <w:br w:type="page"/>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The Calculation Process Sheet of the Proposed Methodology Spreadsheet should be completed as follows. A hypothetical Calculation Process Sheet of the Proposed Methodology Spreadsheet on building energy management systems (BEMS) is inserted to enhance the clarity of these Guidelines. This is purely indicative and does not imply that the Calculation Process Sheet is adopted.</w:t>
      </w:r>
    </w:p>
    <w:p w:rsidR="00007D26" w:rsidRPr="00007D26" w:rsidRDefault="00007D26" w:rsidP="00007D26">
      <w:pPr>
        <w:adjustRightInd w:val="0"/>
        <w:snapToGrid w:val="0"/>
        <w:spacing w:before="120" w:after="120" w:line="240" w:lineRule="auto"/>
        <w:jc w:val="center"/>
        <w:rPr>
          <w:rFonts w:cs="Times New Roman"/>
          <w:sz w:val="24"/>
          <w:szCs w:val="24"/>
        </w:rPr>
      </w:pPr>
      <w:r w:rsidRPr="00007D26">
        <w:rPr>
          <w:rFonts w:cs="Times New Roman"/>
          <w:noProof/>
          <w:sz w:val="24"/>
          <w:szCs w:val="24"/>
        </w:rPr>
        <w:drawing>
          <wp:inline distT="0" distB="0" distL="0" distR="0">
            <wp:extent cx="4410075" cy="8229600"/>
            <wp:effectExtent l="0" t="0" r="9525"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0075" cy="8229600"/>
                    </a:xfrm>
                    <a:prstGeom prst="rect">
                      <a:avLst/>
                    </a:prstGeom>
                    <a:noFill/>
                    <a:ln>
                      <a:noFill/>
                    </a:ln>
                  </pic:spPr>
                </pic:pic>
              </a:graphicData>
            </a:graphic>
          </wp:inline>
        </w:drawing>
      </w:r>
    </w:p>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tbl>
      <w:tblPr>
        <w:tblW w:w="5000" w:type="pct"/>
        <w:jc w:val="center"/>
        <w:tblCellMar>
          <w:left w:w="0" w:type="dxa"/>
          <w:right w:w="0" w:type="dxa"/>
        </w:tblCellMar>
        <w:tblLook w:val="04A0" w:firstRow="1" w:lastRow="0" w:firstColumn="1" w:lastColumn="0" w:noHBand="0" w:noVBand="1"/>
      </w:tblPr>
      <w:tblGrid>
        <w:gridCol w:w="8332"/>
      </w:tblGrid>
      <w:tr w:rsidR="00007D26" w:rsidRPr="00007D26" w:rsidTr="00007D26">
        <w:trPr>
          <w:jc w:val="center"/>
        </w:trPr>
        <w:tc>
          <w:tcPr>
            <w:tcW w:w="8856" w:type="dxa"/>
            <w:tcBorders>
              <w:top w:val="single" w:sz="8" w:space="0" w:color="auto"/>
              <w:left w:val="single" w:sz="8" w:space="0" w:color="auto"/>
              <w:bottom w:val="single" w:sz="8" w:space="0" w:color="auto"/>
              <w:right w:val="single" w:sz="8" w:space="0" w:color="auto"/>
            </w:tcBorders>
            <w:hideMark/>
          </w:tcPr>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The Input Sheet of the Proposed Methodology Spreadsheet consists of a table of parameters to be monitored ex post, and parameters to be fixed ex ante, which, combined, should provide a complete listing of the data that needs to be collected for the application of the methodology. The tables may include data that is collected from other sources (e.g. official statistics, expert judgment, proprietary data, IPCC Guidelines, commercial and scientific literature, etc.), measured, or sampled. Parameters that are calculated with equations provided in the methodology should not be included in this section.</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For the “Parameters to be monitored ex post’’ (table 1), the following items are filled:</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Parameter: the variable used in equations in the proposed methodology;</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Description of data: a clear and unambiguous description of the parameter;</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Estimated value: this field is for the project participants to fill in to calculate emission reductions, and may be left blank in the proposed methodology.</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Unit: The International System Unit (SI units - refer to &lt;http://www.bipm.fr/enus/3_SI/si.html&gt;)</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Monitoring option: please select option(s) from below. If appropriate, please provide the order of priority and the conditions when the options are chosen.</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 Option A: Based on public data which is measured by entities other than the project participants (Data used: publicly recognized data such as statistical data and specifications)</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 Option B: Based on the amount of transaction which is measured directly using measuring equipments (Data used: commercial evidence such as invoices)</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 Option C: Based on the actual measurement using measuring equipments (Data used: measured values)</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Source of data: A description which data sources should be used to determine this parameter. Clearly indicate how the values are to be selected and justified, for example, by explaining:</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 What types of sources are suitable (official statistics, expert judgment, proprietary data, IPCC, commercial and scientific literature, etc.);</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 What spatial level of data is suitable (local, regional, national, international).</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Measurement methods and procedures: For option B and C, a description of the measurement procedures or reference to appropriate standards. Provide also QA/QC procedures.</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Monitoring frequency: A description of the frequency of monitoring (e.g. continuously, annually, etc).</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Other Comments: Other input not covered by the items above.</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i/>
                <w:iCs/>
                <w:sz w:val="24"/>
                <w:szCs w:val="24"/>
              </w:rPr>
              <w:t>• Where applicable, the table “Parameters to be fixed ex ante” (table 2), should also adhere to the instruction provided above. Data that is determined only once and remains fixed should be considered under “I. Data and parameters fixed ex ante”.</w:t>
            </w:r>
          </w:p>
        </w:tc>
      </w:tr>
    </w:tbl>
    <w:p w:rsidR="00007D26" w:rsidRPr="00007D26" w:rsidRDefault="00007D26" w:rsidP="00007D26">
      <w:pPr>
        <w:adjustRightInd w:val="0"/>
        <w:snapToGrid w:val="0"/>
        <w:spacing w:before="120" w:after="120" w:line="240" w:lineRule="auto"/>
        <w:rPr>
          <w:rFonts w:cs="Times New Roman"/>
          <w:sz w:val="24"/>
          <w:szCs w:val="24"/>
        </w:rPr>
      </w:pPr>
      <w:r w:rsidRPr="00007D26">
        <w:rPr>
          <w:rFonts w:cs="Times New Roman"/>
          <w:sz w:val="24"/>
          <w:szCs w:val="24"/>
        </w:rPr>
        <w:t> </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b/>
          <w:bCs/>
          <w:sz w:val="24"/>
          <w:szCs w:val="24"/>
        </w:rPr>
        <w:t>Annex I - Sectoral Scopes for the JCM</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1. Energy industries (renewable - / non-renewable sources);</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2. Energy distribution;</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3. Energy demand;</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4. Manufacturing industries;</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5. Chemical industry;</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6. Construction;</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7. Transport;</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8. Mining/Mineral production;</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9. Metal production;</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10. Fugitive emissions from fuels (solid, oil and gas);</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11. Fugitive emissions from production and consumption of halocarbons and sulphur hexafluoride;</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12. Solvents use;</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13. Waste handling and disposal;</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14. Afforestation and reforestation;</w:t>
      </w:r>
    </w:p>
    <w:p w:rsidR="00007D26" w:rsidRPr="00007D26" w:rsidRDefault="00007D26" w:rsidP="00007D26">
      <w:pPr>
        <w:adjustRightInd w:val="0"/>
        <w:snapToGrid w:val="0"/>
        <w:spacing w:before="120" w:after="120" w:line="240" w:lineRule="auto"/>
        <w:jc w:val="both"/>
        <w:rPr>
          <w:rFonts w:cs="Times New Roman"/>
          <w:sz w:val="24"/>
          <w:szCs w:val="24"/>
        </w:rPr>
      </w:pPr>
      <w:r w:rsidRPr="00007D26">
        <w:rPr>
          <w:rFonts w:cs="Times New Roman"/>
          <w:sz w:val="24"/>
          <w:szCs w:val="24"/>
        </w:rPr>
        <w:t>15. Agriculture.</w:t>
      </w:r>
    </w:p>
    <w:p w:rsidR="00007D26" w:rsidRPr="00007D26" w:rsidRDefault="00007D26" w:rsidP="00007D26">
      <w:pPr>
        <w:adjustRightInd w:val="0"/>
        <w:snapToGrid w:val="0"/>
        <w:spacing w:before="120" w:after="120" w:line="240" w:lineRule="auto"/>
        <w:jc w:val="both"/>
        <w:rPr>
          <w:rFonts w:cs="Times New Roman"/>
          <w:sz w:val="24"/>
          <w:szCs w:val="24"/>
        </w:rPr>
      </w:pPr>
    </w:p>
    <w:p w:rsidR="007A70D3" w:rsidRPr="00007D26" w:rsidRDefault="007A70D3" w:rsidP="00007D26">
      <w:pPr>
        <w:spacing w:before="120" w:after="120" w:line="240" w:lineRule="auto"/>
        <w:rPr>
          <w:sz w:val="24"/>
          <w:szCs w:val="24"/>
        </w:rPr>
      </w:pPr>
    </w:p>
    <w:sectPr w:rsidR="007A70D3" w:rsidRPr="00007D26" w:rsidSect="004703B8">
      <w:footerReference w:type="default" r:id="rId13"/>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2AAD" w:rsidRDefault="00BC2AAD" w:rsidP="004703B8">
      <w:pPr>
        <w:spacing w:after="0" w:line="240" w:lineRule="auto"/>
      </w:pPr>
      <w:r>
        <w:separator/>
      </w:r>
    </w:p>
  </w:endnote>
  <w:endnote w:type="continuationSeparator" w:id="0">
    <w:p w:rsidR="00BC2AAD" w:rsidRDefault="00BC2AAD"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78B4" w:rsidRDefault="00727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78B4" w:rsidRPr="007278B4" w:rsidRDefault="007278B4" w:rsidP="00727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78B4" w:rsidRDefault="007278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7278B4" w:rsidRDefault="004703B8" w:rsidP="00727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2AAD" w:rsidRDefault="00BC2AAD" w:rsidP="004703B8">
      <w:pPr>
        <w:spacing w:after="0" w:line="240" w:lineRule="auto"/>
      </w:pPr>
      <w:r>
        <w:separator/>
      </w:r>
    </w:p>
  </w:footnote>
  <w:footnote w:type="continuationSeparator" w:id="0">
    <w:p w:rsidR="00BC2AAD" w:rsidRDefault="00BC2AAD"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78B4" w:rsidRDefault="00727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78B4" w:rsidRPr="007278B4" w:rsidRDefault="007278B4" w:rsidP="00727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78B4" w:rsidRDefault="00727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7D26"/>
    <w:rsid w:val="00014387"/>
    <w:rsid w:val="0001710E"/>
    <w:rsid w:val="0006315C"/>
    <w:rsid w:val="00144416"/>
    <w:rsid w:val="00263788"/>
    <w:rsid w:val="003A4223"/>
    <w:rsid w:val="003D3564"/>
    <w:rsid w:val="003F3152"/>
    <w:rsid w:val="00467F93"/>
    <w:rsid w:val="004703B8"/>
    <w:rsid w:val="0047155C"/>
    <w:rsid w:val="005F0778"/>
    <w:rsid w:val="00613FB5"/>
    <w:rsid w:val="00686BDF"/>
    <w:rsid w:val="00720AFE"/>
    <w:rsid w:val="0072111F"/>
    <w:rsid w:val="007278B4"/>
    <w:rsid w:val="007404AB"/>
    <w:rsid w:val="007641A4"/>
    <w:rsid w:val="007914EE"/>
    <w:rsid w:val="007A70D3"/>
    <w:rsid w:val="00860699"/>
    <w:rsid w:val="008F3CA3"/>
    <w:rsid w:val="0096432D"/>
    <w:rsid w:val="009D25DA"/>
    <w:rsid w:val="00A43014"/>
    <w:rsid w:val="00A977CA"/>
    <w:rsid w:val="00AC1BC5"/>
    <w:rsid w:val="00B126E9"/>
    <w:rsid w:val="00B17CB0"/>
    <w:rsid w:val="00B26EEE"/>
    <w:rsid w:val="00B84B1A"/>
    <w:rsid w:val="00BC2AAD"/>
    <w:rsid w:val="00D569AD"/>
    <w:rsid w:val="00DD47BB"/>
    <w:rsid w:val="00DF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867186438">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2559</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2021-08-23T07:19:00Z</dcterms:created>
  <dcterms:modified xsi:type="dcterms:W3CDTF">2022-09-12T04:34:00Z</dcterms:modified>
</cp:coreProperties>
</file>