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E4" w:rsidRPr="00090FE4" w:rsidRDefault="00090FE4" w:rsidP="00090FE4">
      <w:pPr>
        <w:spacing w:before="100" w:beforeAutospacing="1" w:after="100" w:afterAutospacing="1" w:line="240" w:lineRule="auto"/>
        <w:rPr>
          <w:rFonts w:eastAsia="Times New Roman" w:cs="Times New Roman"/>
          <w:color w:val="222222"/>
          <w:szCs w:val="26"/>
        </w:rPr>
      </w:pPr>
      <w:bookmarkStart w:id="0" w:name="_GoBack"/>
    </w:p>
    <w:tbl>
      <w:tblPr>
        <w:tblW w:w="8789" w:type="dxa"/>
        <w:tblCellMar>
          <w:left w:w="0" w:type="dxa"/>
          <w:right w:w="0" w:type="dxa"/>
        </w:tblCellMar>
        <w:tblLook w:val="04A0" w:firstRow="1" w:lastRow="0" w:firstColumn="1" w:lastColumn="0" w:noHBand="0" w:noVBand="1"/>
      </w:tblPr>
      <w:tblGrid>
        <w:gridCol w:w="2977"/>
        <w:gridCol w:w="5812"/>
      </w:tblGrid>
      <w:tr w:rsidR="00090FE4" w:rsidRPr="004A24EA" w:rsidTr="00D037A4">
        <w:tc>
          <w:tcPr>
            <w:tcW w:w="2977" w:type="dxa"/>
            <w:tcMar>
              <w:top w:w="0" w:type="dxa"/>
              <w:left w:w="108" w:type="dxa"/>
              <w:bottom w:w="0" w:type="dxa"/>
              <w:right w:w="108" w:type="dxa"/>
            </w:tcMar>
            <w:hideMark/>
          </w:tcPr>
          <w:p w:rsidR="00090FE4" w:rsidRPr="004A24EA" w:rsidRDefault="00090FE4" w:rsidP="00090FE4">
            <w:pPr>
              <w:spacing w:before="100" w:beforeAutospacing="1" w:line="240" w:lineRule="auto"/>
              <w:jc w:val="center"/>
              <w:rPr>
                <w:rFonts w:eastAsia="Times New Roman" w:cs="Times New Roman"/>
                <w:color w:val="222222"/>
                <w:szCs w:val="26"/>
              </w:rPr>
            </w:pPr>
            <w:r>
              <w:rPr>
                <w:rFonts w:eastAsia="Times New Roman" w:cs="Times New Roman"/>
                <w:b/>
                <w:bCs/>
                <w:noProof/>
                <w:color w:val="000000"/>
                <w:szCs w:val="26"/>
              </w:rPr>
              <mc:AlternateContent>
                <mc:Choice Requires="wps">
                  <w:drawing>
                    <wp:anchor distT="0" distB="0" distL="114300" distR="114300" simplePos="0" relativeHeight="251662336" behindDoc="0" locked="0" layoutInCell="1" allowOverlap="1" wp14:anchorId="26E5CF20" wp14:editId="5947CD86">
                      <wp:simplePos x="0" y="0"/>
                      <wp:positionH relativeFrom="column">
                        <wp:posOffset>632460</wp:posOffset>
                      </wp:positionH>
                      <wp:positionV relativeFrom="paragraph">
                        <wp:posOffset>222885</wp:posOffset>
                      </wp:positionV>
                      <wp:extent cx="590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7318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8pt,17.55pt" to="96.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EtQEAALYDAAAOAAAAZHJzL2Uyb0RvYy54bWysU8GOEzEMvSPxD1HudKa7Ko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5Zwd1twAAAAIAQAADwAAAGRycy9kb3ducmV2Lnht&#10;bEyPwU7DMBBE70j8g7VI3KjTICIS4lRVJYS4IJrC3Y23SVp7HdlOGv4eVxzocWdGs2/K1Ww0m9D5&#10;3pKA5SIBhtRY1VMr4Gv3+vAMzAdJSmpLKOAHPayq25tSFsqeaYtTHVoWS8gXUkAXwlBw7psOjfQL&#10;OyBF72CdkSGeruXKyXMsN5qnSZJxI3uKHzo54KbD5lSPRoB+d9N3u2nXfnzbZvXx85B+7CYh7u/m&#10;9QuwgHP4D8MFP6JDFZn2diTlmRaQ51lMCnh8WgK7+Hkahf2fwKuSXw+ofgEAAP//AwBQSwECLQAU&#10;AAYACAAAACEAtoM4kv4AAADhAQAAEwAAAAAAAAAAAAAAAAAAAAAAW0NvbnRlbnRfVHlwZXNdLnht&#10;bFBLAQItABQABgAIAAAAIQA4/SH/1gAAAJQBAAALAAAAAAAAAAAAAAAAAC8BAABfcmVscy8ucmVs&#10;c1BLAQItABQABgAIAAAAIQCnYY/EtQEAALYDAAAOAAAAAAAAAAAAAAAAAC4CAABkcnMvZTJvRG9j&#10;LnhtbFBLAQItABQABgAIAAAAIQDlnB3W3AAAAAgBAAAPAAAAAAAAAAAAAAAAAA8EAABkcnMvZG93&#10;bnJldi54bWxQSwUGAAAAAAQABADzAAAAGAUAAAAA&#10;" strokecolor="black [3200]" strokeweight=".5pt">
                      <v:stroke joinstyle="miter"/>
                    </v:line>
                  </w:pict>
                </mc:Fallback>
              </mc:AlternateContent>
            </w:r>
            <w:r w:rsidRPr="004A24EA">
              <w:rPr>
                <w:rFonts w:eastAsia="Times New Roman" w:cs="Times New Roman"/>
                <w:b/>
                <w:bCs/>
                <w:color w:val="000000"/>
                <w:szCs w:val="26"/>
              </w:rPr>
              <w:t>CHÍNH PHỦ</w:t>
            </w:r>
          </w:p>
        </w:tc>
        <w:tc>
          <w:tcPr>
            <w:tcW w:w="5812" w:type="dxa"/>
            <w:tcMar>
              <w:top w:w="0" w:type="dxa"/>
              <w:left w:w="108" w:type="dxa"/>
              <w:bottom w:w="0" w:type="dxa"/>
              <w:right w:w="108" w:type="dxa"/>
            </w:tcMar>
            <w:hideMark/>
          </w:tcPr>
          <w:p w:rsidR="00090FE4" w:rsidRDefault="00090FE4" w:rsidP="00D037A4">
            <w:pPr>
              <w:spacing w:line="276" w:lineRule="auto"/>
              <w:jc w:val="center"/>
              <w:rPr>
                <w:rFonts w:eastAsia="Times New Roman" w:cs="Times New Roman"/>
                <w:color w:val="222222"/>
                <w:szCs w:val="26"/>
              </w:rPr>
            </w:pPr>
            <w:r w:rsidRPr="004A24EA">
              <w:rPr>
                <w:rFonts w:eastAsia="Times New Roman" w:cs="Times New Roman"/>
                <w:b/>
                <w:bCs/>
                <w:color w:val="000000"/>
                <w:szCs w:val="26"/>
              </w:rPr>
              <w:t>CỘNG HÒA XÃ HỘI CHỦ NGHĨA VIỆT NAM</w:t>
            </w:r>
          </w:p>
          <w:p w:rsidR="00090FE4" w:rsidRPr="004A24EA" w:rsidRDefault="00090FE4" w:rsidP="00D037A4">
            <w:pPr>
              <w:spacing w:line="276" w:lineRule="auto"/>
              <w:jc w:val="center"/>
              <w:rPr>
                <w:rFonts w:eastAsia="Times New Roman" w:cs="Times New Roman"/>
                <w:color w:val="222222"/>
                <w:szCs w:val="26"/>
              </w:rPr>
            </w:pPr>
            <w:r w:rsidRPr="004A24EA">
              <w:rPr>
                <w:rFonts w:eastAsia="Times New Roman" w:cs="Times New Roman"/>
                <w:b/>
                <w:bCs/>
                <w:color w:val="000000"/>
                <w:szCs w:val="26"/>
              </w:rPr>
              <w:t>Độc lập – Tự do – Hạnh phúc</w:t>
            </w:r>
          </w:p>
          <w:p w:rsidR="00090FE4" w:rsidRPr="004A24EA" w:rsidRDefault="00090FE4" w:rsidP="00D037A4">
            <w:pPr>
              <w:spacing w:before="100" w:beforeAutospacing="1" w:line="240" w:lineRule="auto"/>
              <w:rPr>
                <w:rFonts w:eastAsia="Times New Roman" w:cs="Times New Roman"/>
                <w:color w:val="222222"/>
                <w:szCs w:val="26"/>
              </w:rPr>
            </w:pPr>
            <w:r>
              <w:rPr>
                <w:rFonts w:eastAsia="Times New Roman" w:cs="Times New Roman"/>
                <w:noProof/>
                <w:color w:val="222222"/>
                <w:szCs w:val="26"/>
              </w:rPr>
              <mc:AlternateContent>
                <mc:Choice Requires="wps">
                  <w:drawing>
                    <wp:anchor distT="0" distB="0" distL="114300" distR="114300" simplePos="0" relativeHeight="251663360" behindDoc="0" locked="0" layoutInCell="1" allowOverlap="1" wp14:anchorId="32A471C9" wp14:editId="69ADF945">
                      <wp:simplePos x="0" y="0"/>
                      <wp:positionH relativeFrom="column">
                        <wp:posOffset>719467</wp:posOffset>
                      </wp:positionH>
                      <wp:positionV relativeFrom="paragraph">
                        <wp:posOffset>4262</wp:posOffset>
                      </wp:positionV>
                      <wp:extent cx="2060789" cy="0"/>
                      <wp:effectExtent l="0" t="0" r="34925" b="19050"/>
                      <wp:wrapNone/>
                      <wp:docPr id="4" name="Straight Connector 4"/>
                      <wp:cNvGraphicFramePr/>
                      <a:graphic xmlns:a="http://schemas.openxmlformats.org/drawingml/2006/main">
                        <a:graphicData uri="http://schemas.microsoft.com/office/word/2010/wordprocessingShape">
                          <wps:wsp>
                            <wps:cNvCnPr/>
                            <wps:spPr>
                              <a:xfrm flipV="1">
                                <a:off x="0" y="0"/>
                                <a:ext cx="2060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697FF"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pt,.35pt" to="21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DBvwEAAMEDAAAOAAAAZHJzL2Uyb0RvYy54bWysU02PEzEMvSPxH6Lc6Uyr1bKMOt1DV3BB&#10;ULHAPZtxOhFJHDmhH/8eJ9MOiA8JIS5RnDw/+7046/uTd+IAlCyGXi4XrRQQNA427Hv56ePrF3dS&#10;pKzCoBwG6OUZkrzfPH+2PsYOVjiiG4AEk4TUHWMvx5xj1zRJj+BVWmCEwJcGyavMIe2bgdSR2b1r&#10;Vm172xyRhkioISU+fZgu5abyGwM6vzcmQRaul9xbrivV9amszWatuj2pOFp9aUP9Qxde2cBFZ6oH&#10;lZX4SvYXKm81YUKTFxp9g8ZYDVUDq1m2P6l5HFWEqoXNSXG2Kf0/Wv3usCNhh17eSBGU5yd6zKTs&#10;fsxiiyGwgUjipvh0jKlj+Dbs6BKluKMi+mTIC+Ns/MwjUG1gYeJUXT7PLsMpC82Hq/a2fXn3Sgp9&#10;vWsmikIVKeU3gF6UTS+dDcUA1anD25S5LEOvEA5KS1MTdZfPDgrYhQ9gWBQXm9qp4wRbR+KgeBCG&#10;L8siiLkqsqQY69yc1NaSf0y6YEsa1BH728QZXStiyHOitwHpd1Xz6dqqmfBX1ZPWIvsJh3N9kmoH&#10;z0lVdpnpMog/xjX9+8/bfAMAAP//AwBQSwMEFAAGAAgAAAAhAGPbD8TXAAAABQEAAA8AAABkcnMv&#10;ZG93bnJldi54bWxMj8FuwjAQRO+V+g/WVuJWbEghKI2DAKnqucCFmxMvSdR4HWID6d93ObXHpxnN&#10;vs3Xo+vEDYfQetIwmyoQSJW3LdUajoeP1xWIEA1Z03lCDT8YYF08P+Ums/5OX3jbx1rwCIXMaGhi&#10;7DMpQ9WgM2HqeyTOzn5wJjIOtbSDufO46+RcqaV0piW+0Jgedw1W3/ur03D4dGosY7tDuqRqc9ou&#10;lnRaaD15GTfvICKO8a8MD31Wh4KdSn8lG0THPEsSrmpIQXD8lqT8SflAWeTyv33xCwAA//8DAFBL&#10;AQItABQABgAIAAAAIQC2gziS/gAAAOEBAAATAAAAAAAAAAAAAAAAAAAAAABbQ29udGVudF9UeXBl&#10;c10ueG1sUEsBAi0AFAAGAAgAAAAhADj9If/WAAAAlAEAAAsAAAAAAAAAAAAAAAAALwEAAF9yZWxz&#10;Ly5yZWxzUEsBAi0AFAAGAAgAAAAhAMFEcMG/AQAAwQMAAA4AAAAAAAAAAAAAAAAALgIAAGRycy9l&#10;Mm9Eb2MueG1sUEsBAi0AFAAGAAgAAAAhAGPbD8TXAAAABQEAAA8AAAAAAAAAAAAAAAAAGQQAAGRy&#10;cy9kb3ducmV2LnhtbFBLBQYAAAAABAAEAPMAAAAdBQAAAAA=&#10;" strokecolor="black [3200]" strokeweight=".5pt">
                      <v:stroke joinstyle="miter"/>
                    </v:line>
                  </w:pict>
                </mc:Fallback>
              </mc:AlternateContent>
            </w:r>
          </w:p>
        </w:tc>
      </w:tr>
      <w:tr w:rsidR="00090FE4" w:rsidRPr="004A24EA" w:rsidTr="00D037A4">
        <w:tc>
          <w:tcPr>
            <w:tcW w:w="2977" w:type="dxa"/>
            <w:tcMar>
              <w:top w:w="0" w:type="dxa"/>
              <w:left w:w="108" w:type="dxa"/>
              <w:bottom w:w="0" w:type="dxa"/>
              <w:right w:w="108" w:type="dxa"/>
            </w:tcMar>
          </w:tcPr>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color w:val="222222"/>
                <w:szCs w:val="26"/>
              </w:rPr>
              <w:t>Số: 23/CT-TTg</w:t>
            </w:r>
          </w:p>
        </w:tc>
        <w:tc>
          <w:tcPr>
            <w:tcW w:w="5812" w:type="dxa"/>
            <w:tcMar>
              <w:top w:w="0" w:type="dxa"/>
              <w:left w:w="108" w:type="dxa"/>
              <w:bottom w:w="0" w:type="dxa"/>
              <w:right w:w="108" w:type="dxa"/>
            </w:tcMar>
          </w:tcPr>
          <w:p w:rsidR="00090FE4" w:rsidRPr="004A24EA" w:rsidRDefault="00090FE4" w:rsidP="00D037A4">
            <w:pPr>
              <w:spacing w:line="276" w:lineRule="auto"/>
              <w:jc w:val="center"/>
              <w:rPr>
                <w:rFonts w:eastAsia="Times New Roman" w:cs="Times New Roman"/>
                <w:b/>
                <w:bCs/>
                <w:color w:val="000000"/>
                <w:szCs w:val="26"/>
              </w:rPr>
            </w:pPr>
            <w:r w:rsidRPr="004A24EA">
              <w:rPr>
                <w:rFonts w:eastAsia="Times New Roman" w:cs="Times New Roman"/>
                <w:i/>
                <w:iCs/>
                <w:color w:val="000000"/>
                <w:szCs w:val="26"/>
              </w:rPr>
              <w:t>H</w:t>
            </w:r>
            <w:r>
              <w:rPr>
                <w:rFonts w:eastAsia="Times New Roman" w:cs="Times New Roman"/>
                <w:i/>
                <w:iCs/>
                <w:color w:val="000000"/>
                <w:szCs w:val="26"/>
              </w:rPr>
              <w:t xml:space="preserve">à Nội, ngày </w:t>
            </w:r>
            <w:r w:rsidRPr="004A24EA">
              <w:rPr>
                <w:rFonts w:eastAsia="Times New Roman" w:cs="Times New Roman"/>
                <w:i/>
                <w:iCs/>
                <w:color w:val="000000"/>
                <w:szCs w:val="26"/>
              </w:rPr>
              <w:t>0</w:t>
            </w:r>
            <w:r>
              <w:rPr>
                <w:rFonts w:eastAsia="Times New Roman" w:cs="Times New Roman"/>
                <w:i/>
                <w:iCs/>
                <w:color w:val="000000"/>
                <w:szCs w:val="26"/>
              </w:rPr>
              <w:t>9</w:t>
            </w:r>
            <w:r w:rsidRPr="004A24EA">
              <w:rPr>
                <w:rFonts w:eastAsia="Times New Roman" w:cs="Times New Roman"/>
                <w:i/>
                <w:iCs/>
                <w:color w:val="000000"/>
                <w:szCs w:val="26"/>
              </w:rPr>
              <w:t xml:space="preserve"> tháng 7 năm 2023</w:t>
            </w:r>
          </w:p>
        </w:tc>
      </w:tr>
    </w:tbl>
    <w:p w:rsidR="00090FE4" w:rsidRPr="00090FE4" w:rsidRDefault="00090FE4" w:rsidP="00090FE4">
      <w:pPr>
        <w:spacing w:line="240" w:lineRule="auto"/>
        <w:rPr>
          <w:rFonts w:eastAsia="Times New Roman" w:cs="Times New Roman"/>
          <w:szCs w:val="26"/>
        </w:rPr>
      </w:pPr>
    </w:p>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b/>
          <w:bCs/>
          <w:color w:val="222222"/>
          <w:szCs w:val="26"/>
        </w:rPr>
        <w:t>CHỈ THỊ</w:t>
      </w:r>
    </w:p>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b/>
          <w:bCs/>
          <w:color w:val="222222"/>
          <w:szCs w:val="26"/>
        </w:rPr>
        <w:t>Về việc đẩy mạnh cải cách thủ tục hành chính cấp Phiếu lý lịch tư pháp tạo thuận lợi cho người dân, doanh nghiệp</w:t>
      </w:r>
    </w:p>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color w:val="222222"/>
          <w:szCs w:val="26"/>
        </w:rPr>
        <w:t>___________</w:t>
      </w:r>
    </w:p>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color w:val="222222"/>
          <w:szCs w:val="26"/>
        </w:rPr>
        <w:t> </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Thực hiện Luật Lý lịch tư pháp và các quy định của pháp luật chuyên ngành, thời gian qua công tác cấp Phiếu lý lịch tư pháp và khai thác thông tin lý lịch tư pháp đã đi vào nền nếp và có nhiều chuyển biến tích cực, cơ bản đáp ứng yêu cầu của cơ quan, tổ chức, người có thẩm quyền cũng như người dân, doanh nghiệp.</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Tuy nhiên, vẫn còn nhiều thủ tục hành chính quy định phải có Phiếu lý lịch tư pháp</w:t>
      </w:r>
      <w:r w:rsidRPr="00090FE4">
        <w:rPr>
          <w:rFonts w:eastAsia="Times New Roman" w:cs="Times New Roman"/>
          <w:color w:val="222222"/>
          <w:szCs w:val="26"/>
          <w:vertAlign w:val="superscript"/>
        </w:rPr>
        <w:t>1</w:t>
      </w:r>
      <w:r w:rsidRPr="00090FE4">
        <w:rPr>
          <w:rFonts w:eastAsia="Times New Roman" w:cs="Times New Roman"/>
          <w:color w:val="222222"/>
          <w:szCs w:val="26"/>
        </w:rPr>
        <w:t>; một số tổ chức, doanh nghiệp, cá nhân còn lạm dụng yêu cầu cung cấp Phiếu lý lịch tư pháp làm cơ sở tuyển dụng, quản lý, sử dụng lao động; một số tỉnh, thành phố chưa chủ động giải quyết để kịp thời đáp ứng việc tiếp nhận hồ sơ cấp Phiếu lý lịch tư pháp tăng đột biến thời gian gần đây, dẫn tới tình trạng chậm trễ, ùn ứ gây bức xúc trong dư luận xã hội.</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Nguyên nhân chính của tồn tại, hạn chế trên là: (1) Nhận thức của một số cơ quan, tổ chức, doanh nghiệp, cá nhân về Phiếu lý lịch tư pháp và pháp luật về lý lịch tư pháp chưa đầy đủ; (2) Các cơ quan nhà nước, tổ chức chính trị, tổ chức chính trị - xã hội chưa chủ động thực hiện quyền yêu cầu cấp Phiếu lý lịch tư pháp theo quy định của Luật Lý lịch tư pháp mà chủ yếu yêu cầu cán bộ, công chức, viên chức, người dân phải nộp; chưa chủ động rà soát các quy định của pháp luật có yêu cầu nộp Phiếu lý lịch tư pháp trong thủ tục hành chính để cắt giảm hợp lý; (3) Việc ứng dụng công nghệ thông tin còn hạn chế, Hệ thống thông tin giải quyết thủ tục hành chính ở một số địa phương còn chưa đáp ứng yêu cầu triển khai cấp Phiếu lý lịch tư pháp trực tuyến; (4) Nguồn nhân lực, trang thiết bị, cơ sở vật chất và việc tổ chức công việc tại một số địa phương chưa đáp ứng yêu cầu trước nhu cầu cấp Phiếu lý lịch tư pháp tăng cao.</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Để kịp thời chấn chỉnh và khắc phục những tồn tại, hạn chế, nguyên nhân nêu trên, tăng cường cải cách thủ tục hành chính trong việc tiếp nhận, giải quyết yêu cầu cấp Phiếu lý lịch tư pháp nhằm tạo thuận lợi, giảm thời gian, chi phí xã hội cho người dân, Thủ tướng Chính phủ yêu cầu:</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lastRenderedPageBreak/>
        <w:t>1. Bộ trưởng, Thủ trưởng cơ quan ngang bộ, cơ quan thuộc Chính phủ, Chủ tịch Ủy ban nhân dân các tỉnh, thành phố trực thuộc Trung ương quán triệt, tuân thủ đúng quyền yêu cầu cấp Phiếu lý lịch tư pháp theo quy định tại khoản 3 Điều 7 Luật Lý lịch tư pháp; có các giải pháp hiệu quả và tiến tới chấm dứt yêu cầu người dân nộp Phiếu lý lịch tư pháp không đúng quy định. Trong đó, tập trung chỉ đạo thực hiện hiệu quả ngay một số nhiệm vụ sau:</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a) Tăng cường tuyên truyền, nâng cao nhận thức và trách nhiệm thực hiện đúng quy định tại khoản 2 và khoản 3 Điều 7 Luật Lý lịch tư pháp về quyền yêu cầu cấp Phiếu lý lịch tư pháp, nhằm hạn chế tình trạng yêu cầu người dân nộp Phiếu lý lịch tư pháp phục vụ công tác quản lý và giải quyết thủ tục hành chính trong ngành, lĩnh vực quản lý; có biện pháp chấn chỉnh việc lạm dụng yêu cầu nộp Phiếu lý lịch tư pháp của tổ chức, doanh nghiệp thuộc phạm vi quản lý; bảo đảm giữ bí mật thông tin lý lịch tư pháp theo quy định.</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b) Rà soát, sửa đổi, bổ sung theo thẩm quyền, hoặc đề xuất, báo cáo cấp có thẩm quyền xem xét, sửa đổi các quy định, thủ tục hành chính liên quan đến Phiếu lý lịch tư pháp thuộc ngành, lĩnh vực quản lý để cắt giảm yêu cầu nộp Phiếu lý lịch tư pháp không hợp lý trong thực hiện thủ tục hành chính; các cơ quan nhà nước chủ động thực hiện quyền yêu cầu cấp Phiếu lý lịch tư pháp theo quy định tại khoản 2, khoản 3 Điều 7 Luật Lý lịch tư pháp, không yêu cầu cán bộ, công chức, viên chức, người dân phải nộp Phiếu lý lịch tư pháp; có các giải pháp phù hợp, hiệu quả ngăn chặn tình trạng yêu cầu nộp Phiếu lý lịch tư pháp gây khó khăn, phát sinh chi phí; kịp thời phát hiện, ngăn chặn tình trạng yêu cầu cung cấp Phiếu lý lịch tư không đúng quy định pháp luật gây khó khăn, phát sinh chi phí cho người dân; báo cáo Thủ tướng Chính phủ phương án cắt giảm các quy định, thủ tục này trong tháng 8 năm 2023 </w:t>
      </w:r>
      <w:r w:rsidRPr="00090FE4">
        <w:rPr>
          <w:rFonts w:eastAsia="Times New Roman" w:cs="Times New Roman"/>
          <w:i/>
          <w:iCs/>
          <w:color w:val="222222"/>
          <w:szCs w:val="26"/>
        </w:rPr>
        <w:t>(Phụ lục Danh mục thủ tục hành chính có yên cầu cung cấp Phiếu lý lịch tư pháp đính kèm).</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c) Nâng cấp Hệ thống thông tin giải quyết thủ tục hành chính của cấp bộ, cấp tỉnh bảo đảm đáp ứng yêu cầu kết nối, chia sẻ, số hóa và tái sử dụng theo đúng yêu cầu của Chính phủ tại Nghị định số 107/2021/NĐ-CP ngày 06 tháng 12 năm 2021 và chỉ đạo của Thủ tướng Chính phủ tại Văn bản sô 452/TTg-KSTT ngày 23 tháng 5 năm 2023; quan tâm bố trí nguồn nhân lực, điều kiện làm việc đáp ứng yêu cầu của công tác lý lịch tư pháp bảo đảm theo đúng quy định pháp luật hiện hành, phù hợp yêu cầu, điều kiện thực tiễn của bộ, cơ quan, địa phương.</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2. Bộ Tư pháp chủ trì, phối hợp với Bộ Công an và các cơ quan liên quan:</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a) Phân quyền cho Sở Tư pháp khai thác, tra cứu Cơ sở dữ liệu lý lịch tư pháp tại Trung tâm lý lịch tư pháp quốc gia để phục vụ cấp Phiếu lý lịch tư pháp nhằm tăng tính chủ động, chịu trách nhiệm, giảm thời gian, chi phí thực hiện.</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 xml:space="preserve">b) Tham mưu cho Chính phủ báo cáo Quốc hội thí điểm phân cấp việc cấp Phiếu lý lịch tư pháp cho Phòng Tư pháp thuộc Ủy ban nhân dân cấp huyện tại thành phố Hà Nội và tỉnh Nghệ </w:t>
      </w:r>
      <w:proofErr w:type="gramStart"/>
      <w:r w:rsidRPr="00090FE4">
        <w:rPr>
          <w:rFonts w:eastAsia="Times New Roman" w:cs="Times New Roman"/>
          <w:color w:val="222222"/>
          <w:szCs w:val="26"/>
        </w:rPr>
        <w:t>An</w:t>
      </w:r>
      <w:proofErr w:type="gramEnd"/>
      <w:r w:rsidRPr="00090FE4">
        <w:rPr>
          <w:rFonts w:eastAsia="Times New Roman" w:cs="Times New Roman"/>
          <w:color w:val="222222"/>
          <w:szCs w:val="26"/>
        </w:rPr>
        <w:t>, trình Chính phủ sớm nhất có thể.</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c) Đẩy mạnh số hóa, hoàn thiện Cơ sở dữ liệu lý lịch tư pháp, kết nối, chia sẻ dữ liệu phục vụ cấp Phiếu lý lịch tư pháp và giải quyết thủ tục hành chính cho người dân.</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d) Khẩn trương rà soát và đề xuất giảm mức phí cung cấp thông tin lý lịch tư pháp để khuyến khích thực hiện dịch vụ công trực tuyến gửi Bộ Tài chính theo chỉ đạo của Thủ tướng Chính phủ tại Văn bản số 3561/VPCP-KSTT ngày 18 tháng 5 năm 2023 của Văn phòng Chính phủ.</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đ) Phối hợp với Bộ Công an nghiên cứu, xây dựng giải pháp triển khai thí điểm cấp Phiếu lý lịch tư pháp trên ứng dụng VNelD theo yêu cầu tại Nghị quyết số 74/NQ-CP ngày 07 tháng 5 năm 2023 của Chính phủ.</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3. Bộ Công an chủ trì, phối hợp với các cơ quan liên quan và các địa phương thực hiện các nhiệm vụ sau:</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a) Chủ trì, phối hợp với Bộ Tư pháp, Bộ Quốc phòng, Toà án nhân dân tối cao, Viện kiểm sát nhân dân tối cao và các cơ quan liên quan kết nối, chia sẻ Cơ sở dữ liệu quốc gia về dân cư với Cơ sở dữ liệu lý lịch tư pháp, Cơ sở dữ liệu của cơ quan thi hành án dân sự, Cơ sở dữ liệu do ngành Công an quản lý, Cơ sở dữ liệu của Bộ Quốc phòng, Toà án nhân dân tối cao, Viện Kiểm sát nhân dân tối cao phục vụ cấp Phiếu lý lịch tư pháp và giải quyết thủ tục hành chính theo quy định pháp luật.</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b) Phối hợp với Bộ Tư pháp, Bộ Thông tin và truyền thông, Ủy ban nhân dân tỉnh Thừa Thiên Huế nghiên cứu, xây dựng giải pháp triển khai thí điểm cấp Phiếu lý lịch tư pháp trên ứng dụng VNelD theo Nghị quyết số 74/NQ-CP ngày 07 tháng 5 năm 2023 của Chính phủ. Trên cơ sở đó sơ kết, báo cáo cấp có thẩm quyền về việc triển khai thực hiện toàn quốc.</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4. Đề nghị các tổ chức chính trị, tổ chức chính trị - xã hội, các hiệp hội tổ chức quán triệt và triển khai thực hiện Chỉ thị này đối với các thành viên để hạn chế việc lạm dụng yêu cầu cung cấp Phiếu lý lịch tư pháp.</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5. Bộ Thông tin và Truyền thông chủ trì, phối hợp với các cơ quan thông tấn báo chí thực hiện tuyên truyền các quy định về cấp Phiếu lý lịch tư pháp để các tổ chức, doanh nghiệp hiểu và thực hiện đúng, hạn chế tình trạng lạm dụng yêu cầu người dân cung cấp Phiếu lý lịch tư pháp; chỉ đạo các doanh nghiệp cung ứng dịch vụ bưu chính công ích phối hợp chặt chẽ với cơ quan cấp Phiếu lý lịch tư pháp để cung ứng dịch vụ tiếp nhận, trả kết quả giải quyết hồ sơ cấp Phiếu lý lịch tư pháp tại nhà khi người dân có nhu cầu.</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6. Bộ trưởng, Thủ trưởng cơ quan ngang bộ, cơ quan thuộc Chính phủ, Chủ tịch Ủy ban nhân dân các tỉnh, thành phố trực thuộc trung ương tổ chức triển khai và chỉ đạo các cơ quan, tổ chức, đơn vị thuộc phạm vi quản lý thực hiện nghiêm Chỉ thị này. Định kỳ hàng quý báo cáo Thủ tướng Chính phủ tình hình, kết quả thực hiện trong báo cáo công tác kiểm soát thủ tục hành chính của bộ, ngành, địa phương.</w:t>
      </w:r>
    </w:p>
    <w:p w:rsidR="00090FE4" w:rsidRPr="00090FE4" w:rsidRDefault="00090FE4" w:rsidP="00090FE4">
      <w:pPr>
        <w:spacing w:before="100" w:beforeAutospacing="1" w:after="120" w:line="240" w:lineRule="auto"/>
        <w:ind w:firstLine="720"/>
        <w:jc w:val="both"/>
        <w:rPr>
          <w:rFonts w:eastAsia="Times New Roman" w:cs="Times New Roman"/>
          <w:color w:val="222222"/>
          <w:szCs w:val="26"/>
        </w:rPr>
      </w:pPr>
      <w:r w:rsidRPr="00090FE4">
        <w:rPr>
          <w:rFonts w:eastAsia="Times New Roman" w:cs="Times New Roman"/>
          <w:color w:val="222222"/>
          <w:szCs w:val="26"/>
        </w:rPr>
        <w:t>Văn phòng chính phủ giúp Thủ tướng Chính phủ đôn đốc các bộ, ngành, địa phương trong việc thực hiện Chỉ thị này./.</w:t>
      </w:r>
    </w:p>
    <w:p w:rsidR="00090FE4" w:rsidRDefault="00090FE4" w:rsidP="00090FE4">
      <w:pPr>
        <w:spacing w:before="100" w:beforeAutospacing="1" w:line="240" w:lineRule="auto"/>
        <w:rPr>
          <w:rFonts w:eastAsia="Times New Roman" w:cs="Times New Roman"/>
          <w:color w:val="222222"/>
          <w:szCs w:val="26"/>
        </w:rPr>
      </w:pPr>
      <w:r w:rsidRPr="00090FE4">
        <w:rPr>
          <w:rFonts w:eastAsia="Times New Roman" w:cs="Times New Roman"/>
          <w:color w:val="222222"/>
          <w:szCs w:val="26"/>
        </w:rPr>
        <w:t> </w:t>
      </w:r>
    </w:p>
    <w:p w:rsidR="00090FE4" w:rsidRPr="00090FE4" w:rsidRDefault="00090FE4" w:rsidP="00090FE4">
      <w:pPr>
        <w:spacing w:before="100" w:beforeAutospacing="1" w:line="240" w:lineRule="auto"/>
        <w:rPr>
          <w:rFonts w:eastAsia="Times New Roman" w:cs="Times New Roman"/>
          <w:color w:val="222222"/>
          <w:szCs w:val="26"/>
        </w:rPr>
      </w:pPr>
    </w:p>
    <w:tbl>
      <w:tblPr>
        <w:tblW w:w="5000" w:type="pct"/>
        <w:tblCellMar>
          <w:left w:w="0" w:type="dxa"/>
          <w:right w:w="0" w:type="dxa"/>
        </w:tblCellMar>
        <w:tblLook w:val="04A0" w:firstRow="1" w:lastRow="0" w:firstColumn="1" w:lastColumn="0" w:noHBand="0" w:noVBand="1"/>
      </w:tblPr>
      <w:tblGrid>
        <w:gridCol w:w="4646"/>
        <w:gridCol w:w="4425"/>
      </w:tblGrid>
      <w:tr w:rsidR="00090FE4" w:rsidRPr="00090FE4" w:rsidTr="00090FE4">
        <w:tc>
          <w:tcPr>
            <w:tcW w:w="6281" w:type="dxa"/>
            <w:tcMar>
              <w:top w:w="0" w:type="dxa"/>
              <w:left w:w="108" w:type="dxa"/>
              <w:bottom w:w="0" w:type="dxa"/>
              <w:right w:w="108" w:type="dxa"/>
            </w:tcMar>
            <w:hideMark/>
          </w:tcPr>
          <w:p w:rsidR="00090FE4" w:rsidRPr="00090FE4" w:rsidRDefault="00090FE4" w:rsidP="00090FE4">
            <w:pPr>
              <w:spacing w:before="100" w:beforeAutospacing="1" w:line="240" w:lineRule="auto"/>
              <w:rPr>
                <w:rFonts w:eastAsia="Times New Roman" w:cs="Times New Roman"/>
                <w:color w:val="222222"/>
                <w:sz w:val="24"/>
                <w:szCs w:val="24"/>
              </w:rPr>
            </w:pPr>
            <w:r w:rsidRPr="00090FE4">
              <w:rPr>
                <w:rFonts w:eastAsia="Times New Roman" w:cs="Times New Roman"/>
                <w:b/>
                <w:bCs/>
                <w:i/>
                <w:iCs/>
                <w:color w:val="222222"/>
                <w:sz w:val="24"/>
                <w:szCs w:val="24"/>
              </w:rPr>
              <w:t>Nơi nhận:</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Ban Bí thư Trung ương Đảng;</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Thủ tướng, các Phó Thủ tướng Chính phủ;</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Các bộ, cơ quan ngang bộ, cơ quan thuộc Chính phủ;</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HĐND, UBND các tỉnh, thành phố trực thuộc trung ương;</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Văn phòng Trung ương và các Ban của Đảng;</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Văn phòng Tổng Bí thư;</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Văn phòng Chủ tịch nước;</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Hội đồng Dân tộc và các Ủy ban của Quốc hội;</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Văn phòng Quốc hội;</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Kiểm toán nhà nưóc;</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Ủy ban Giám sát tài chính Quốc gia;</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Ủy ban trung ương Mặt trận Tổ quốc Việt Nam;</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Cơ quan trung ương của các đoàn thể;</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Liên minh Hợp tác xã Việt Nam;</w:t>
            </w:r>
          </w:p>
          <w:p w:rsidR="00090FE4" w:rsidRPr="00090FE4" w:rsidRDefault="00090FE4" w:rsidP="00090FE4">
            <w:pPr>
              <w:spacing w:line="240" w:lineRule="auto"/>
              <w:rPr>
                <w:rFonts w:eastAsia="Times New Roman" w:cs="Times New Roman"/>
                <w:color w:val="222222"/>
                <w:sz w:val="22"/>
              </w:rPr>
            </w:pPr>
            <w:r w:rsidRPr="00090FE4">
              <w:rPr>
                <w:rFonts w:eastAsia="Times New Roman" w:cs="Times New Roman"/>
                <w:color w:val="222222"/>
                <w:sz w:val="22"/>
              </w:rPr>
              <w:t>- VPCP: BTCN, các PCN, Trợ lý TTg, TGĐ cổng TTĐT, các Vụ, Cục, đơn vị trực thuộc, Công báo;</w:t>
            </w:r>
          </w:p>
          <w:p w:rsidR="00090FE4" w:rsidRPr="00090FE4" w:rsidRDefault="00090FE4" w:rsidP="00090FE4">
            <w:pPr>
              <w:spacing w:line="240" w:lineRule="auto"/>
              <w:rPr>
                <w:rFonts w:eastAsia="Times New Roman" w:cs="Times New Roman"/>
                <w:color w:val="222222"/>
                <w:szCs w:val="26"/>
              </w:rPr>
            </w:pPr>
            <w:r w:rsidRPr="00090FE4">
              <w:rPr>
                <w:rFonts w:eastAsia="Times New Roman" w:cs="Times New Roman"/>
                <w:color w:val="222222"/>
                <w:sz w:val="20"/>
                <w:szCs w:val="20"/>
              </w:rPr>
              <w:t>- Lưu: VT, KSTT (2).</w:t>
            </w:r>
          </w:p>
        </w:tc>
        <w:tc>
          <w:tcPr>
            <w:tcW w:w="5839" w:type="dxa"/>
            <w:tcMar>
              <w:top w:w="0" w:type="dxa"/>
              <w:left w:w="108" w:type="dxa"/>
              <w:bottom w:w="0" w:type="dxa"/>
              <w:right w:w="108" w:type="dxa"/>
            </w:tcMar>
            <w:hideMark/>
          </w:tcPr>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b/>
                <w:bCs/>
                <w:color w:val="222222"/>
                <w:szCs w:val="26"/>
              </w:rPr>
              <w:t>THỦ TƯỚNG</w:t>
            </w:r>
          </w:p>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color w:val="222222"/>
                <w:szCs w:val="26"/>
              </w:rPr>
              <w:t> </w:t>
            </w:r>
          </w:p>
          <w:p w:rsidR="00090FE4" w:rsidRPr="00090FE4" w:rsidRDefault="00090FE4" w:rsidP="00090FE4">
            <w:pPr>
              <w:spacing w:before="100" w:beforeAutospacing="1" w:line="240" w:lineRule="auto"/>
              <w:jc w:val="center"/>
              <w:rPr>
                <w:rFonts w:eastAsia="Times New Roman" w:cs="Times New Roman"/>
                <w:color w:val="222222"/>
                <w:szCs w:val="26"/>
              </w:rPr>
            </w:pPr>
            <w:r w:rsidRPr="00090FE4">
              <w:rPr>
                <w:rFonts w:eastAsia="Times New Roman" w:cs="Times New Roman"/>
                <w:b/>
                <w:bCs/>
                <w:color w:val="222222"/>
                <w:szCs w:val="26"/>
              </w:rPr>
              <w:t>Phạm Minh Chính</w:t>
            </w:r>
          </w:p>
        </w:tc>
      </w:tr>
    </w:tbl>
    <w:p w:rsidR="00090FE4" w:rsidRPr="00090FE4" w:rsidRDefault="00090FE4" w:rsidP="00090FE4">
      <w:pPr>
        <w:spacing w:before="100" w:beforeAutospacing="1" w:after="60" w:line="240" w:lineRule="auto"/>
        <w:jc w:val="both"/>
        <w:rPr>
          <w:rFonts w:eastAsia="Times New Roman" w:cs="Times New Roman"/>
          <w:color w:val="222222"/>
          <w:szCs w:val="26"/>
        </w:rPr>
      </w:pPr>
    </w:p>
    <w:p w:rsidR="00090FE4" w:rsidRPr="00090FE4" w:rsidRDefault="00090FE4" w:rsidP="00090FE4">
      <w:pPr>
        <w:spacing w:before="100" w:beforeAutospacing="1" w:after="60" w:line="240" w:lineRule="auto"/>
        <w:jc w:val="both"/>
        <w:rPr>
          <w:rFonts w:eastAsia="Times New Roman" w:cs="Times New Roman"/>
          <w:color w:val="222222"/>
          <w:szCs w:val="26"/>
        </w:rPr>
      </w:pPr>
      <w:r>
        <w:rPr>
          <w:rFonts w:eastAsia="Times New Roman" w:cs="Times New Roman"/>
          <w:color w:val="222222"/>
          <w:sz w:val="20"/>
          <w:szCs w:val="20"/>
        </w:rPr>
        <w:t>__</w:t>
      </w:r>
      <w:r w:rsidRPr="00090FE4">
        <w:rPr>
          <w:rFonts w:eastAsia="Times New Roman" w:cs="Times New Roman"/>
          <w:color w:val="222222"/>
          <w:sz w:val="20"/>
          <w:szCs w:val="20"/>
        </w:rPr>
        <w:t>____________</w:t>
      </w:r>
    </w:p>
    <w:p w:rsidR="00090FE4" w:rsidRPr="00090FE4" w:rsidRDefault="00090FE4" w:rsidP="00090FE4">
      <w:pPr>
        <w:spacing w:before="100" w:beforeAutospacing="1" w:after="60" w:line="240" w:lineRule="auto"/>
        <w:jc w:val="both"/>
        <w:rPr>
          <w:rFonts w:eastAsia="Times New Roman" w:cs="Times New Roman"/>
          <w:color w:val="222222"/>
          <w:szCs w:val="26"/>
        </w:rPr>
      </w:pPr>
      <w:r w:rsidRPr="00090FE4">
        <w:rPr>
          <w:rFonts w:eastAsia="Times New Roman" w:cs="Times New Roman"/>
          <w:color w:val="222222"/>
          <w:sz w:val="20"/>
          <w:szCs w:val="20"/>
          <w:vertAlign w:val="superscript"/>
        </w:rPr>
        <w:t>1</w:t>
      </w:r>
      <w:r w:rsidRPr="00090FE4">
        <w:rPr>
          <w:rFonts w:eastAsia="Times New Roman" w:cs="Times New Roman"/>
          <w:color w:val="222222"/>
          <w:sz w:val="20"/>
          <w:szCs w:val="20"/>
        </w:rPr>
        <w:t>Theo rà soát sơ bộ, hiện có 154 thủ tục hành chính có yêu cầu về Phiếu lý lịch tư pháp</w:t>
      </w:r>
    </w:p>
    <w:bookmarkEnd w:id="0"/>
    <w:p w:rsidR="001D0A37" w:rsidRPr="00090FE4" w:rsidRDefault="001D0A37">
      <w:pPr>
        <w:rPr>
          <w:rFonts w:cs="Times New Roman"/>
        </w:rPr>
      </w:pPr>
    </w:p>
    <w:sectPr w:rsidR="001D0A37" w:rsidRPr="00090FE4"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E4"/>
    <w:rsid w:val="00090FE4"/>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4A97"/>
  <w15:chartTrackingRefBased/>
  <w15:docId w15:val="{AA5CEB11-FFA9-4818-B4F3-49CEB197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FE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0FE4"/>
    <w:rPr>
      <w:b/>
      <w:bCs/>
    </w:rPr>
  </w:style>
  <w:style w:type="character" w:styleId="Emphasis">
    <w:name w:val="Emphasis"/>
    <w:basedOn w:val="DefaultParagraphFont"/>
    <w:uiPriority w:val="20"/>
    <w:qFormat/>
    <w:rsid w:val="00090FE4"/>
    <w:rPr>
      <w:i/>
      <w:iCs/>
    </w:rPr>
  </w:style>
  <w:style w:type="character" w:customStyle="1" w:styleId="doclink">
    <w:name w:val="doclink"/>
    <w:basedOn w:val="DefaultParagraphFont"/>
    <w:rsid w:val="00090FE4"/>
  </w:style>
  <w:style w:type="character" w:customStyle="1" w:styleId="demuc4">
    <w:name w:val="demuc4"/>
    <w:basedOn w:val="DefaultParagraphFont"/>
    <w:rsid w:val="0009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25137">
      <w:bodyDiv w:val="1"/>
      <w:marLeft w:val="0"/>
      <w:marRight w:val="0"/>
      <w:marTop w:val="0"/>
      <w:marBottom w:val="0"/>
      <w:divBdr>
        <w:top w:val="none" w:sz="0" w:space="0" w:color="auto"/>
        <w:left w:val="none" w:sz="0" w:space="0" w:color="auto"/>
        <w:bottom w:val="none" w:sz="0" w:space="0" w:color="auto"/>
        <w:right w:val="none" w:sz="0" w:space="0" w:color="auto"/>
      </w:divBdr>
      <w:divsChild>
        <w:div w:id="162727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2023-07-10T04:30:00Z</dcterms:created>
  <dcterms:modified xsi:type="dcterms:W3CDTF">2023-07-10T04:35:00Z</dcterms:modified>
</cp:coreProperties>
</file>