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4CD9CCC9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9A08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ỦY BAN NHÂN DÂN</w:t>
            </w:r>
            <w:r>
              <w:rPr>
                <w:b/>
                <w:bCs/>
              </w:rPr>
              <w:br/>
              <w:t>TỈNH ĐỒNG THÁP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FF229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000000" w14:paraId="6904CBA3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1635" w14:textId="77777777" w:rsidR="00000000" w:rsidRDefault="00000000">
            <w:pPr>
              <w:spacing w:before="120"/>
              <w:jc w:val="center"/>
            </w:pPr>
            <w:r>
              <w:t>Số: 23/2022/QĐ-UBND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CB44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</w:rPr>
              <w:t>Đồng Tháp, ngày 14 tháng 11 năm 2022</w:t>
            </w:r>
          </w:p>
        </w:tc>
      </w:tr>
    </w:tbl>
    <w:p w14:paraId="7805278B" w14:textId="77777777" w:rsidR="00000000" w:rsidRDefault="00000000">
      <w:pPr>
        <w:spacing w:before="120" w:after="280" w:afterAutospacing="1"/>
      </w:pPr>
      <w:r>
        <w:rPr>
          <w:b/>
          <w:bCs/>
        </w:rPr>
        <w:t> </w:t>
      </w:r>
    </w:p>
    <w:p w14:paraId="78CAFEF2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</w:t>
      </w:r>
    </w:p>
    <w:p w14:paraId="1EA38912" w14:textId="77777777" w:rsidR="00000000" w:rsidRDefault="00000000">
      <w:pPr>
        <w:spacing w:before="120" w:after="280" w:afterAutospacing="1"/>
        <w:jc w:val="center"/>
      </w:pPr>
      <w:r>
        <w:t>BAN HÀNH CHUẨN HỘ GIA ĐÌNH THU NHẬP THẤP TRÊN ĐỊA BÀN TỈNH ĐỒNG THÁP GIAI ĐOẠN 2022 - 2025</w:t>
      </w:r>
    </w:p>
    <w:p w14:paraId="02CE3476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ỦY BAN NHÂN DÂN TỈNH ĐỒNG THÁP</w:t>
      </w:r>
    </w:p>
    <w:p w14:paraId="3BBF39D5" w14:textId="77777777" w:rsidR="00000000" w:rsidRDefault="00000000">
      <w:pPr>
        <w:spacing w:before="120" w:after="280" w:afterAutospacing="1"/>
      </w:pPr>
      <w:r>
        <w:rPr>
          <w:i/>
          <w:iCs/>
        </w:rPr>
        <w:t>Căn cứ Luật Tổ chức Chính quyền địa phương ngày 19 tháng 6 năm 2015, Luật sửa đổi, bổ sung một số điều của Luật Tổ chức chính phủ và Luật Tổ chức chính quyền địa phương ngày 22 tháng 11 năm 2019;</w:t>
      </w:r>
    </w:p>
    <w:p w14:paraId="321A653E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07/2021/NĐ-CP ngày 27 tháng 01 năm 2021 của Chính phủ quy định chuẩn nghèo đa chiều giai đoạn 2021 - 2025;</w:t>
      </w:r>
    </w:p>
    <w:p w14:paraId="39AAC33B" w14:textId="77777777" w:rsidR="00000000" w:rsidRDefault="00000000">
      <w:pPr>
        <w:spacing w:before="120" w:after="280" w:afterAutospacing="1"/>
      </w:pPr>
      <w:r>
        <w:rPr>
          <w:i/>
          <w:iCs/>
        </w:rPr>
        <w:t>Căn cứ Nghị định số 01/2021/NĐ-CP ngày 04 tháng 01 năm 2021 của Chính phủ về đăng ký doanh nghiệp;</w:t>
      </w:r>
    </w:p>
    <w:p w14:paraId="671081C0" w14:textId="77777777" w:rsidR="00000000" w:rsidRDefault="00000000">
      <w:pPr>
        <w:spacing w:before="120" w:after="280" w:afterAutospacing="1"/>
      </w:pPr>
      <w:r>
        <w:rPr>
          <w:i/>
          <w:iCs/>
        </w:rPr>
        <w:t>Theo đề nghị của Giám đốc Sở Lao động - Thương binh và Xã hội tại Tờ trình số 137/TTr-SLĐTBXH ngày 03 tháng 10 năm 2022.</w:t>
      </w:r>
    </w:p>
    <w:p w14:paraId="7F4EA259" w14:textId="77777777" w:rsidR="00000000" w:rsidRDefault="00000000">
      <w:pPr>
        <w:spacing w:before="120" w:after="280" w:afterAutospacing="1"/>
        <w:jc w:val="center"/>
      </w:pPr>
      <w:r>
        <w:rPr>
          <w:b/>
          <w:bCs/>
        </w:rPr>
        <w:t>QUYẾT ĐỊNH:</w:t>
      </w:r>
    </w:p>
    <w:p w14:paraId="06B73D5A" w14:textId="77777777" w:rsidR="00000000" w:rsidRDefault="00000000">
      <w:pPr>
        <w:spacing w:before="120" w:after="280" w:afterAutospacing="1"/>
      </w:pPr>
      <w:r>
        <w:rPr>
          <w:b/>
          <w:bCs/>
        </w:rPr>
        <w:t>Điều 1.</w:t>
      </w:r>
      <w:r>
        <w:t xml:space="preserve"> Ban hành chuẩn hộ gia đình thu nhập thấp trên địa bàn tỉnh Đồng Tháp áp dụng giai đoạn 2022 - 2025 như sau:</w:t>
      </w:r>
    </w:p>
    <w:p w14:paraId="3EB9537A" w14:textId="77777777" w:rsidR="00000000" w:rsidRDefault="00000000">
      <w:pPr>
        <w:spacing w:before="120" w:after="280" w:afterAutospacing="1"/>
      </w:pPr>
      <w:r>
        <w:t>1. Khu vực thành thị: Hộ gia đình có mức thu nhập bình quân đầu người từ dưới 3.000.000 đồng/người/tháng trở xuống là hộ có thu nhập thấp.</w:t>
      </w:r>
    </w:p>
    <w:p w14:paraId="66C4487C" w14:textId="77777777" w:rsidR="00000000" w:rsidRDefault="00000000">
      <w:pPr>
        <w:spacing w:before="120" w:after="280" w:afterAutospacing="1"/>
      </w:pPr>
      <w:r>
        <w:t>2. Khu vực nông thôn: Hộ gia đình có mức thu nhập bình quân đầu người từ dưới 2.250.000 đồng/người/tháng trở xuống là hộ có thu nhập thấp.</w:t>
      </w:r>
    </w:p>
    <w:p w14:paraId="131D9CBC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2. </w:t>
      </w:r>
      <w:r>
        <w:t>Quyết định này có hiệu lực thi hành kể từ ngày 25 tháng 11 năm 2022.</w:t>
      </w:r>
    </w:p>
    <w:p w14:paraId="72128A0C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3. </w:t>
      </w:r>
      <w:r>
        <w:t>Những hộ gia đình thuộc diện có thu nhập thấp được hưởng các chính sách theo quy định.</w:t>
      </w:r>
    </w:p>
    <w:p w14:paraId="4C46DF93" w14:textId="77777777" w:rsidR="00000000" w:rsidRDefault="00000000">
      <w:pPr>
        <w:spacing w:before="120" w:after="280" w:afterAutospacing="1"/>
      </w:pPr>
      <w:r>
        <w:rPr>
          <w:b/>
          <w:bCs/>
        </w:rPr>
        <w:t xml:space="preserve">Điều 4. </w:t>
      </w:r>
      <w:r>
        <w:t>Chánh Văn phòng Ủy ban nhân dân Tỉnh; Thủ trưởng các sở, ngành tỉnh và Chủ tịch Ủy ban nhân dân các huyện, thành phố chịu trách nhiệm thi hành Quyết định này./.</w:t>
      </w:r>
    </w:p>
    <w:p w14:paraId="55FBF5EC" w14:textId="77777777" w:rsidR="00000000" w:rsidRDefault="00000000">
      <w:pPr>
        <w:spacing w:before="120" w:after="280" w:afterAutospacing="1"/>
      </w:pPr>
      <w:r>
        <w:rPr>
          <w:b/>
          <w:bCs/>
          <w:i/>
          <w:iCs/>
        </w:rPr>
        <w:lastRenderedPageBreak/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5FDD10AA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51AD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</w:rPr>
              <w:br/>
              <w:t>Nơi nhận:</w:t>
            </w:r>
            <w:r>
              <w:rPr>
                <w:b/>
                <w:bCs/>
                <w:i/>
                <w:iCs/>
              </w:rPr>
              <w:br/>
            </w:r>
            <w:r>
              <w:rPr>
                <w:sz w:val="16"/>
              </w:rPr>
              <w:t>- Như Điều 4;</w:t>
            </w:r>
            <w:r>
              <w:rPr>
                <w:sz w:val="16"/>
              </w:rPr>
              <w:br/>
              <w:t>- Chính phủ;</w:t>
            </w:r>
            <w:r>
              <w:rPr>
                <w:sz w:val="16"/>
              </w:rPr>
              <w:br/>
              <w:t>- Bộ Lao động - Thương binh và Xã hội;</w:t>
            </w:r>
            <w:r>
              <w:rPr>
                <w:sz w:val="16"/>
              </w:rPr>
              <w:br/>
              <w:t>- Cục Kiểm tra văn bản QPPL-Bộ Tư pháp;</w:t>
            </w:r>
            <w:r>
              <w:rPr>
                <w:sz w:val="16"/>
              </w:rPr>
              <w:br/>
              <w:t>- TT TU/HĐND tỉnh;</w:t>
            </w:r>
            <w:r>
              <w:rPr>
                <w:sz w:val="16"/>
              </w:rPr>
              <w:br/>
              <w:t>- Đoàn Đại biểu Quốc hội Tỉnh;</w:t>
            </w:r>
            <w:r>
              <w:rPr>
                <w:sz w:val="16"/>
              </w:rPr>
              <w:br/>
              <w:t>- CT/PCT UBND tỉnh;</w:t>
            </w:r>
            <w:r>
              <w:rPr>
                <w:sz w:val="16"/>
              </w:rPr>
              <w:br/>
              <w:t>- Lãnh đạo VP/UBND Tỉnh;</w:t>
            </w:r>
            <w:r>
              <w:rPr>
                <w:sz w:val="16"/>
              </w:rPr>
              <w:br/>
              <w:t>- Sở Tư pháp;</w:t>
            </w:r>
            <w:r>
              <w:rPr>
                <w:sz w:val="16"/>
              </w:rPr>
              <w:br/>
              <w:t>- Công báo Tỉnh;</w:t>
            </w:r>
            <w:r>
              <w:rPr>
                <w:sz w:val="16"/>
              </w:rPr>
              <w:br/>
              <w:t>- Lưu: VT, THVX(Tuyen).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825BF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 xml:space="preserve">KT. CHỦ TỊCH 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Đoàn Tấn Bửu</w:t>
            </w:r>
          </w:p>
        </w:tc>
      </w:tr>
    </w:tbl>
    <w:p w14:paraId="3ED52266" w14:textId="77777777" w:rsidR="00000000" w:rsidRDefault="00000000">
      <w:pPr>
        <w:spacing w:before="120" w:after="280" w:afterAutospacing="1"/>
      </w:pPr>
      <w:r>
        <w:t> </w:t>
      </w:r>
    </w:p>
    <w:p w14:paraId="11957854" w14:textId="77777777" w:rsidR="00C063EC" w:rsidRDefault="00000000">
      <w:pPr>
        <w:spacing w:before="120" w:after="280" w:afterAutospacing="1"/>
      </w:pPr>
      <w:r>
        <w:t> </w:t>
      </w:r>
    </w:p>
    <w:sectPr w:rsidR="00C063E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9A9"/>
    <w:rsid w:val="00C063EC"/>
    <w:rsid w:val="00D1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7C7258"/>
  <w15:chartTrackingRefBased/>
  <w15:docId w15:val="{BA2649AE-EA42-4ED3-A581-78F7CDE5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2022-11-21T04:52:00Z</dcterms:created>
  <dcterms:modified xsi:type="dcterms:W3CDTF">2022-11-21T04:52:00Z</dcterms:modified>
</cp:coreProperties>
</file>