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499F" w:rsidRPr="00F72F3C" w:rsidRDefault="0018499F" w:rsidP="0018499F">
      <w:pPr>
        <w:snapToGrid w:val="0"/>
        <w:spacing w:before="120" w:after="120"/>
        <w:jc w:val="center"/>
        <w:rPr>
          <w:rFonts w:ascii="Times New Roman" w:hAnsi="Times New Roman" w:cs="Times New Roman"/>
          <w:b/>
        </w:rPr>
      </w:pPr>
      <w:bookmarkStart w:id="0" w:name="chuong_pl_9"/>
      <w:r w:rsidRPr="00F72F3C">
        <w:rPr>
          <w:rFonts w:ascii="Times New Roman" w:hAnsi="Times New Roman" w:cs="Times New Roman"/>
          <w:b/>
        </w:rPr>
        <w:t>PHỤ LỤC V</w:t>
      </w:r>
      <w:bookmarkEnd w:id="0"/>
    </w:p>
    <w:p w:rsidR="0018499F" w:rsidRPr="00F72F3C" w:rsidRDefault="0018499F" w:rsidP="0018499F">
      <w:pPr>
        <w:snapToGrid w:val="0"/>
        <w:spacing w:before="120" w:after="120"/>
        <w:jc w:val="center"/>
        <w:rPr>
          <w:rFonts w:ascii="Times New Roman" w:hAnsi="Times New Roman" w:cs="Times New Roman"/>
          <w:i/>
        </w:rPr>
      </w:pPr>
      <w:bookmarkStart w:id="1" w:name="chuong_pl_9_name"/>
      <w:r w:rsidRPr="00F72F3C">
        <w:rPr>
          <w:rFonts w:ascii="Times New Roman" w:hAnsi="Times New Roman" w:cs="Times New Roman"/>
        </w:rPr>
        <w:t>MẪU BẢN CÁO BẠCH TÓM TẮT CỦA QUỸ ĐẦU TƯ CHỨNG KHOÁN</w:t>
      </w:r>
      <w:bookmarkEnd w:id="1"/>
      <w:r w:rsidRPr="00F72F3C">
        <w:rPr>
          <w:rFonts w:ascii="Times New Roman" w:hAnsi="Times New Roman" w:cs="Times New Roman"/>
        </w:rPr>
        <w:br/>
      </w:r>
      <w:r w:rsidRPr="00F72F3C">
        <w:rPr>
          <w:rFonts w:ascii="Times New Roman" w:hAnsi="Times New Roman" w:cs="Times New Roman"/>
          <w:i/>
        </w:rPr>
        <w:t>(Ban hành kèm theo Thông tư số 98/2020/TT-BTC ngày 16 tháng 11 năm 2020 của Bộ trưởng Bộ Tài chính)</w:t>
      </w:r>
    </w:p>
    <w:p w:rsidR="0018499F" w:rsidRPr="00F72F3C" w:rsidRDefault="0018499F" w:rsidP="0018499F">
      <w:pPr>
        <w:snapToGrid w:val="0"/>
        <w:spacing w:before="120" w:after="120"/>
        <w:jc w:val="center"/>
        <w:rPr>
          <w:rFonts w:ascii="Times New Roman" w:hAnsi="Times New Roman" w:cs="Times New Roman"/>
        </w:rPr>
      </w:pPr>
      <w:r w:rsidRPr="00F72F3C">
        <w:rPr>
          <w:rFonts w:ascii="Times New Roman" w:hAnsi="Times New Roman" w:cs="Times New Roman"/>
        </w:rPr>
        <w:t>(trang bìa)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362"/>
      </w:tblGrid>
      <w:tr w:rsidR="0018499F" w:rsidRPr="00F72F3C" w:rsidTr="0018499F">
        <w:trPr>
          <w:jc w:val="center"/>
        </w:trPr>
        <w:tc>
          <w:tcPr>
            <w:tcW w:w="5000" w:type="pct"/>
          </w:tcPr>
          <w:p w:rsidR="0018499F" w:rsidRPr="00F72F3C" w:rsidRDefault="0018499F" w:rsidP="0018499F">
            <w:pPr>
              <w:snapToGrid w:val="0"/>
              <w:spacing w:before="120" w:after="120"/>
              <w:rPr>
                <w:rFonts w:ascii="Times New Roman" w:eastAsia="Times New Roman" w:hAnsi="Times New Roman" w:cs="Times New Roman"/>
              </w:rPr>
            </w:pPr>
            <w:r w:rsidRPr="00F72F3C">
              <w:rPr>
                <w:rFonts w:ascii="Times New Roman" w:eastAsia="Times New Roman" w:hAnsi="Times New Roman" w:cs="Times New Roman"/>
              </w:rPr>
              <w:t>Ủy ban Chứng khoán Nhà nước cấp Giấy chứng nhận đăng ký chào bán chứng chỉ quỹ này ra công chúng chỉ có nghĩa là việc xin phép chào bán chứng chỉ quỹ đầu tư này đã thực hiện theo các quy định của pháp luật liên quan, không hàm ý bảo đảm về nội dung của Bản cáo bạch cũng như mục tiêu, chiến lược đầu tư của Quỹ</w:t>
            </w:r>
          </w:p>
        </w:tc>
      </w:tr>
    </w:tbl>
    <w:p w:rsidR="0018499F" w:rsidRPr="00F72F3C" w:rsidRDefault="0018499F" w:rsidP="0018499F">
      <w:pPr>
        <w:snapToGrid w:val="0"/>
        <w:spacing w:before="120" w:after="120"/>
        <w:rPr>
          <w:rFonts w:ascii="Times New Roman" w:hAnsi="Times New Roman" w:cs="Times New Roman"/>
        </w:rPr>
      </w:pPr>
    </w:p>
    <w:p w:rsidR="0018499F" w:rsidRPr="00F72F3C" w:rsidRDefault="0018499F" w:rsidP="0018499F">
      <w:pPr>
        <w:snapToGrid w:val="0"/>
        <w:spacing w:before="120" w:after="120"/>
        <w:jc w:val="center"/>
        <w:rPr>
          <w:rFonts w:ascii="Times New Roman" w:hAnsi="Times New Roman" w:cs="Times New Roman"/>
          <w:b/>
        </w:rPr>
      </w:pPr>
      <w:r w:rsidRPr="00F72F3C">
        <w:rPr>
          <w:rFonts w:ascii="Times New Roman" w:hAnsi="Times New Roman" w:cs="Times New Roman"/>
          <w:b/>
        </w:rPr>
        <w:t>BẢN CÁO BẠCH TÓM TẮT CỦA QUỸ...</w:t>
      </w:r>
    </w:p>
    <w:p w:rsidR="0018499F" w:rsidRPr="00F72F3C" w:rsidRDefault="0018499F" w:rsidP="003431E8">
      <w:pPr>
        <w:snapToGrid w:val="0"/>
        <w:spacing w:before="120" w:after="120"/>
        <w:jc w:val="both"/>
        <w:rPr>
          <w:rFonts w:ascii="Times New Roman" w:hAnsi="Times New Roman" w:cs="Times New Roman"/>
        </w:rPr>
      </w:pPr>
      <w:r w:rsidRPr="00F72F3C">
        <w:rPr>
          <w:rFonts w:ascii="Times New Roman" w:hAnsi="Times New Roman" w:cs="Times New Roman"/>
        </w:rPr>
        <w:t>1. Tên, loại hình quỹ; tóm tắt mục tiêu, chiến lược, chính sách đầu tư, thời hạn hoạt động (nếu có) của quỹ, loại hình nhà đầu tư là đối tượng chào bán của quỹ.</w:t>
      </w:r>
    </w:p>
    <w:p w:rsidR="0018499F" w:rsidRPr="00F72F3C" w:rsidRDefault="0018499F" w:rsidP="003431E8">
      <w:pPr>
        <w:snapToGrid w:val="0"/>
        <w:spacing w:before="120" w:after="120"/>
        <w:jc w:val="both"/>
        <w:rPr>
          <w:rFonts w:ascii="Times New Roman" w:hAnsi="Times New Roman" w:cs="Times New Roman"/>
        </w:rPr>
      </w:pPr>
      <w:r w:rsidRPr="00F72F3C">
        <w:rPr>
          <w:rFonts w:ascii="Times New Roman" w:hAnsi="Times New Roman" w:cs="Times New Roman"/>
        </w:rPr>
        <w:t>2. Thông tin về công ty quản lý quỹ, ngân hàng giám sát, tổ chức kiểm toán, danh sách đại lý phân phối, các tổ chức được ủy quyền (nếu có) và danh sách thành viên Ban đại diện quỹ.</w:t>
      </w:r>
    </w:p>
    <w:p w:rsidR="0018499F" w:rsidRPr="00F72F3C" w:rsidRDefault="0018499F" w:rsidP="003431E8">
      <w:pPr>
        <w:snapToGrid w:val="0"/>
        <w:spacing w:before="120" w:after="120"/>
        <w:jc w:val="both"/>
        <w:rPr>
          <w:rFonts w:ascii="Times New Roman" w:hAnsi="Times New Roman" w:cs="Times New Roman"/>
        </w:rPr>
      </w:pPr>
      <w:r w:rsidRPr="00F72F3C">
        <w:rPr>
          <w:rFonts w:ascii="Times New Roman" w:hAnsi="Times New Roman" w:cs="Times New Roman"/>
        </w:rPr>
        <w:t>3. Kết quả hoạt động đầu tư của quỹ trước đó (nếu có), kèm theo khuyến cáo về việc kết quả hoạt động đầu tư trước đó chỉ mang tính tham khảo, và việc đầu tư vào Quỹ không hàm ý bảo đảm khả năng sinh lời hoặc bảo đảm khả năng thu hồi vốn.</w:t>
      </w:r>
    </w:p>
    <w:p w:rsidR="0018499F" w:rsidRPr="00F72F3C" w:rsidRDefault="0018499F" w:rsidP="003431E8">
      <w:pPr>
        <w:snapToGrid w:val="0"/>
        <w:spacing w:before="120" w:after="120"/>
        <w:jc w:val="both"/>
        <w:rPr>
          <w:rFonts w:ascii="Times New Roman" w:hAnsi="Times New Roman" w:cs="Times New Roman"/>
        </w:rPr>
      </w:pPr>
      <w:r w:rsidRPr="00F72F3C">
        <w:rPr>
          <w:rFonts w:ascii="Times New Roman" w:hAnsi="Times New Roman" w:cs="Times New Roman"/>
        </w:rPr>
        <w:t>4. Thông tin cơ bản hướng dẫn tham gia đầu tư vào quỹ bao gồm các vấn đề liên quan tới quy trình phát hành thêm, mua lại, chuyển đổi chứng chỉ quỹ; mua lại một phần chứng chỉ quỹ và tạm dừng giao dịch chứng chỉ quỹ; giá dịch vụ phát hành (nếu có); giá dịch vụ mua lại chứng chỉ quỹ (nếu có); giá dịch vụ chuyển đổi quỹ (nếu có).</w:t>
      </w:r>
    </w:p>
    <w:p w:rsidR="0018499F" w:rsidRPr="00F72F3C" w:rsidRDefault="0018499F" w:rsidP="003431E8">
      <w:pPr>
        <w:snapToGrid w:val="0"/>
        <w:spacing w:before="120" w:after="120"/>
        <w:jc w:val="both"/>
        <w:rPr>
          <w:rFonts w:ascii="Times New Roman" w:hAnsi="Times New Roman" w:cs="Times New Roman"/>
        </w:rPr>
      </w:pPr>
      <w:r w:rsidRPr="00F72F3C">
        <w:rPr>
          <w:rFonts w:ascii="Times New Roman" w:hAnsi="Times New Roman" w:cs="Times New Roman"/>
        </w:rPr>
        <w:t>5. Các khoản thuế, giá dịch vụ mà quỹ phải thanh toán; các khoản thuế, giá dịch vụ mà nhà đầu tư phải thanh toán.</w:t>
      </w:r>
    </w:p>
    <w:p w:rsidR="0018499F" w:rsidRPr="00F72F3C" w:rsidRDefault="0018499F" w:rsidP="003431E8">
      <w:pPr>
        <w:snapToGrid w:val="0"/>
        <w:spacing w:before="120" w:after="120"/>
        <w:jc w:val="both"/>
        <w:rPr>
          <w:rFonts w:ascii="Times New Roman" w:hAnsi="Times New Roman" w:cs="Times New Roman"/>
        </w:rPr>
      </w:pPr>
      <w:r w:rsidRPr="00F72F3C">
        <w:rPr>
          <w:rFonts w:ascii="Times New Roman" w:hAnsi="Times New Roman" w:cs="Times New Roman"/>
        </w:rPr>
        <w:t>6. Thông tin cơ bản về hình thức, phương thức, lộ trình, thời điểm phân phối lợi nhuận quỹ.</w:t>
      </w:r>
    </w:p>
    <w:p w:rsidR="0018499F" w:rsidRPr="00F72F3C" w:rsidRDefault="0018499F" w:rsidP="003431E8">
      <w:pPr>
        <w:snapToGrid w:val="0"/>
        <w:spacing w:before="120" w:after="120"/>
        <w:jc w:val="both"/>
        <w:rPr>
          <w:rFonts w:ascii="Times New Roman" w:hAnsi="Times New Roman" w:cs="Times New Roman"/>
        </w:rPr>
      </w:pPr>
      <w:r w:rsidRPr="00F72F3C">
        <w:rPr>
          <w:rFonts w:ascii="Times New Roman" w:hAnsi="Times New Roman" w:cs="Times New Roman"/>
        </w:rPr>
        <w:t>7. Thông tin cơ bản về các rủi ro tiềm ẩn khi đầu tư vào quỹ.</w:t>
      </w:r>
    </w:p>
    <w:p w:rsidR="00F62DC2" w:rsidRPr="003431E8" w:rsidRDefault="0018499F" w:rsidP="003431E8">
      <w:pPr>
        <w:snapToGrid w:val="0"/>
        <w:spacing w:before="120" w:after="120"/>
        <w:jc w:val="both"/>
        <w:rPr>
          <w:rFonts w:ascii="Times New Roman" w:hAnsi="Times New Roman" w:cs="Times New Roman"/>
          <w:lang w:val="en-US"/>
        </w:rPr>
      </w:pPr>
      <w:r w:rsidRPr="00F72F3C">
        <w:rPr>
          <w:rFonts w:ascii="Times New Roman" w:hAnsi="Times New Roman" w:cs="Times New Roman"/>
        </w:rPr>
        <w:t>8. Chế độ công bố thông tin, hình thức cung cấp thông tin, tài liệu về quỹ cho nhà đầu tư; địa chỉ, thời gian và hình thức liên lạc để tìm hiểu thêm thông tin về quỹ.</w:t>
      </w:r>
    </w:p>
    <w:sectPr w:rsidR="00F62DC2" w:rsidRPr="003431E8" w:rsidSect="0018499F">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0E0D" w:rsidRDefault="004E0E0D" w:rsidP="0018499F">
      <w:r>
        <w:separator/>
      </w:r>
    </w:p>
  </w:endnote>
  <w:endnote w:type="continuationSeparator" w:id="0">
    <w:p w:rsidR="004E0E0D" w:rsidRDefault="004E0E0D" w:rsidP="00184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396C" w:rsidRDefault="00F739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499F" w:rsidRPr="004A0AB5" w:rsidRDefault="0018499F" w:rsidP="004A0A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396C" w:rsidRDefault="00F73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0E0D" w:rsidRDefault="004E0E0D" w:rsidP="0018499F">
      <w:r>
        <w:separator/>
      </w:r>
    </w:p>
  </w:footnote>
  <w:footnote w:type="continuationSeparator" w:id="0">
    <w:p w:rsidR="004E0E0D" w:rsidRDefault="004E0E0D" w:rsidP="00184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396C" w:rsidRDefault="00F739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396C" w:rsidRPr="004A0AB5" w:rsidRDefault="00F7396C" w:rsidP="004A0A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396C" w:rsidRDefault="00F739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2B7"/>
    <w:rsid w:val="000D57F8"/>
    <w:rsid w:val="00127631"/>
    <w:rsid w:val="0018499F"/>
    <w:rsid w:val="00203978"/>
    <w:rsid w:val="003431E8"/>
    <w:rsid w:val="00411149"/>
    <w:rsid w:val="004A0AB5"/>
    <w:rsid w:val="004E0E0D"/>
    <w:rsid w:val="008602B7"/>
    <w:rsid w:val="00B34848"/>
    <w:rsid w:val="00F62DC2"/>
    <w:rsid w:val="00F73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300C9E-67F3-44FA-B013-82D2332CD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99F"/>
    <w:pPr>
      <w:widowControl w:val="0"/>
      <w:spacing w:after="0" w:line="240" w:lineRule="auto"/>
    </w:pPr>
    <w:rPr>
      <w:rFonts w:ascii="Tahoma" w:eastAsia="Tahoma" w:hAnsi="Tahoma" w:cs="Tahoma"/>
      <w:color w:val="000000"/>
      <w:sz w:val="24"/>
      <w:szCs w:val="24"/>
      <w:lang w:val="vi-VN" w:eastAsia="vi-VN"/>
    </w:rPr>
  </w:style>
  <w:style w:type="paragraph" w:styleId="Heading1">
    <w:name w:val="heading 1"/>
    <w:basedOn w:val="Normal"/>
    <w:next w:val="Normal"/>
    <w:link w:val="Heading1Char"/>
    <w:autoRedefine/>
    <w:uiPriority w:val="9"/>
    <w:qFormat/>
    <w:rsid w:val="00203978"/>
    <w:pPr>
      <w:keepNext/>
      <w:keepLines/>
      <w:widowControl/>
      <w:spacing w:before="360" w:line="324" w:lineRule="auto"/>
      <w:contextualSpacing/>
      <w:outlineLvl w:val="0"/>
    </w:pPr>
    <w:rPr>
      <w:rFonts w:ascii="Times New Roman" w:eastAsiaTheme="majorEastAsia" w:hAnsi="Times New Roman" w:cstheme="majorBidi"/>
      <w:b/>
      <w:bCs/>
      <w:color w:val="auto"/>
      <w:sz w:val="26"/>
      <w:szCs w:val="28"/>
      <w:lang w:val="en-US" w:eastAsia="en-US"/>
    </w:rPr>
  </w:style>
  <w:style w:type="paragraph" w:styleId="Heading2">
    <w:name w:val="heading 2"/>
    <w:basedOn w:val="Normal"/>
    <w:next w:val="Normal"/>
    <w:link w:val="Heading2Char"/>
    <w:autoRedefine/>
    <w:uiPriority w:val="9"/>
    <w:semiHidden/>
    <w:unhideWhenUsed/>
    <w:qFormat/>
    <w:rsid w:val="00203978"/>
    <w:pPr>
      <w:keepNext/>
      <w:keepLines/>
      <w:widowControl/>
      <w:spacing w:before="240" w:line="324" w:lineRule="auto"/>
      <w:contextualSpacing/>
      <w:outlineLvl w:val="1"/>
    </w:pPr>
    <w:rPr>
      <w:rFonts w:ascii="Times New Roman" w:eastAsiaTheme="majorEastAsia" w:hAnsi="Times New Roman" w:cstheme="majorBidi"/>
      <w:b/>
      <w:bCs/>
      <w:color w:val="auto"/>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978"/>
    <w:rPr>
      <w:rFonts w:ascii="Times New Roman" w:eastAsiaTheme="majorEastAsia" w:hAnsi="Times New Roman" w:cstheme="majorBidi"/>
      <w:b/>
      <w:bCs/>
      <w:sz w:val="26"/>
      <w:szCs w:val="28"/>
    </w:rPr>
  </w:style>
  <w:style w:type="character" w:customStyle="1" w:styleId="Heading2Char">
    <w:name w:val="Heading 2 Char"/>
    <w:basedOn w:val="DefaultParagraphFont"/>
    <w:link w:val="Heading2"/>
    <w:uiPriority w:val="9"/>
    <w:semiHidden/>
    <w:rsid w:val="00203978"/>
    <w:rPr>
      <w:rFonts w:ascii="Times New Roman" w:eastAsiaTheme="majorEastAsia" w:hAnsi="Times New Roman" w:cstheme="majorBidi"/>
      <w:b/>
      <w:bCs/>
      <w:sz w:val="26"/>
      <w:szCs w:val="26"/>
    </w:rPr>
  </w:style>
  <w:style w:type="paragraph" w:styleId="Header">
    <w:name w:val="header"/>
    <w:basedOn w:val="Normal"/>
    <w:link w:val="HeaderChar"/>
    <w:uiPriority w:val="99"/>
    <w:unhideWhenUsed/>
    <w:rsid w:val="0018499F"/>
    <w:pPr>
      <w:tabs>
        <w:tab w:val="center" w:pos="4680"/>
        <w:tab w:val="right" w:pos="9360"/>
      </w:tabs>
    </w:pPr>
  </w:style>
  <w:style w:type="character" w:customStyle="1" w:styleId="HeaderChar">
    <w:name w:val="Header Char"/>
    <w:basedOn w:val="DefaultParagraphFont"/>
    <w:link w:val="Header"/>
    <w:uiPriority w:val="99"/>
    <w:rsid w:val="0018499F"/>
    <w:rPr>
      <w:rFonts w:ascii="Tahoma" w:eastAsia="Tahoma" w:hAnsi="Tahoma" w:cs="Tahoma"/>
      <w:color w:val="000000"/>
      <w:sz w:val="24"/>
      <w:szCs w:val="24"/>
      <w:lang w:val="vi-VN" w:eastAsia="vi-VN"/>
    </w:rPr>
  </w:style>
  <w:style w:type="paragraph" w:styleId="Footer">
    <w:name w:val="footer"/>
    <w:basedOn w:val="Normal"/>
    <w:link w:val="FooterChar"/>
    <w:uiPriority w:val="99"/>
    <w:unhideWhenUsed/>
    <w:rsid w:val="0018499F"/>
    <w:pPr>
      <w:tabs>
        <w:tab w:val="center" w:pos="4680"/>
        <w:tab w:val="right" w:pos="9360"/>
      </w:tabs>
    </w:pPr>
  </w:style>
  <w:style w:type="character" w:customStyle="1" w:styleId="FooterChar">
    <w:name w:val="Footer Char"/>
    <w:basedOn w:val="DefaultParagraphFont"/>
    <w:link w:val="Footer"/>
    <w:uiPriority w:val="99"/>
    <w:rsid w:val="0018499F"/>
    <w:rPr>
      <w:rFonts w:ascii="Tahoma" w:eastAsia="Tahoma" w:hAnsi="Tahoma" w:cs="Tahoma"/>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278</Words>
  <Characters>1585</Characters>
  <Application>Microsoft Office Word</Application>
  <DocSecurity>0</DocSecurity>
  <Lines>13</Lines>
  <Paragraphs>3</Paragraphs>
  <ScaleCrop>false</ScaleCrop>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huan nguyen</cp:lastModifiedBy>
  <cp:revision>5</cp:revision>
  <dcterms:created xsi:type="dcterms:W3CDTF">2021-07-14T14:42:00Z</dcterms:created>
  <dcterms:modified xsi:type="dcterms:W3CDTF">2022-09-12T04:18:00Z</dcterms:modified>
</cp:coreProperties>
</file>