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75">
            <w:pPr>
              <w:spacing w:before="120"/>
              <w:jc w:val="center"/>
            </w:pPr>
            <w:bookmarkStart w:id="0" w:name="_GoBack"/>
            <w:bookmarkEnd w:id="0"/>
            <w:r>
              <w:rPr>
                <w:b/>
                <w:bCs/>
              </w:rPr>
              <w:t>ỦY BAN NHÂN DÂN</w:t>
            </w:r>
            <w:r>
              <w:rPr>
                <w:b/>
                <w:bCs/>
              </w:rPr>
              <w:b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75">
            <w:pPr>
              <w:spacing w:before="120"/>
              <w:jc w:val="center"/>
            </w:pPr>
            <w:r>
              <w:rPr>
                <w:lang w:val="vi-VN"/>
              </w:rPr>
              <w:t xml:space="preserve">Số: </w:t>
            </w:r>
            <w:r>
              <w:t>2100/QĐ-UBND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75">
            <w:pPr>
              <w:spacing w:before="120"/>
              <w:jc w:val="right"/>
            </w:pPr>
            <w:r>
              <w:rPr>
                <w:i/>
                <w:iCs/>
              </w:rPr>
              <w:t>Vĩnh Long</w:t>
            </w:r>
            <w:r>
              <w:rPr>
                <w:i/>
                <w:iCs/>
                <w:lang w:val="vi-VN"/>
              </w:rPr>
              <w:t xml:space="preserve">, ngày </w:t>
            </w:r>
            <w:r>
              <w:rPr>
                <w:i/>
                <w:iCs/>
              </w:rPr>
              <w:t>12</w:t>
            </w:r>
            <w:r>
              <w:rPr>
                <w:i/>
                <w:iCs/>
                <w:lang w:val="vi-VN"/>
              </w:rPr>
              <w:t xml:space="preserve"> tháng </w:t>
            </w:r>
            <w:r>
              <w:rPr>
                <w:i/>
                <w:iCs/>
              </w:rPr>
              <w:t>10</w:t>
            </w:r>
            <w:r>
              <w:rPr>
                <w:i/>
                <w:iCs/>
                <w:lang w:val="vi-VN"/>
              </w:rPr>
              <w:t xml:space="preserve"> năm </w:t>
            </w:r>
            <w:r>
              <w:rPr>
                <w:i/>
                <w:iCs/>
              </w:rPr>
              <w:t>2022</w:t>
            </w:r>
          </w:p>
        </w:tc>
      </w:tr>
    </w:tbl>
    <w:p w:rsidR="00000000" w:rsidRDefault="004E3375">
      <w:pPr>
        <w:spacing w:before="120" w:after="280" w:afterAutospacing="1"/>
      </w:pPr>
      <w:r>
        <w:t> </w:t>
      </w:r>
    </w:p>
    <w:p w:rsidR="00000000" w:rsidRDefault="004E3375">
      <w:pPr>
        <w:spacing w:before="120" w:after="280" w:afterAutospacing="1"/>
        <w:jc w:val="center"/>
      </w:pPr>
      <w:r>
        <w:rPr>
          <w:b/>
          <w:bCs/>
          <w:lang w:val="vi-VN"/>
        </w:rPr>
        <w:t>QUYẾT ĐỊNH</w:t>
      </w:r>
    </w:p>
    <w:p w:rsidR="00000000" w:rsidRDefault="004E3375">
      <w:pPr>
        <w:spacing w:before="120" w:after="280" w:afterAutospacing="1"/>
        <w:jc w:val="center"/>
      </w:pPr>
      <w:r>
        <w:rPr>
          <w:lang w:val="vi-VN"/>
        </w:rPr>
        <w:t>THÔNG QUA CHÍNH SÁCH TRONG ĐỀ NGHỊ XÂY DỰNG NGHỊ QUYẾT QUY ĐỊNH CHÍN</w:t>
      </w:r>
      <w:r>
        <w:rPr>
          <w:lang w:val="vi-VN"/>
        </w:rPr>
        <w:t>H SÁCH HỖ TRỢ ĐẶC THÙ BẢO TỒN LÒ GẠCH, GỐM THUỘC ĐỀ ÁN DI SẢN ĐƯƠNG ĐẠI MANG THÍT, TỈNH VĨNH LONG</w:t>
      </w:r>
    </w:p>
    <w:p w:rsidR="00000000" w:rsidRDefault="004E3375">
      <w:pPr>
        <w:spacing w:before="120" w:after="280" w:afterAutospacing="1"/>
        <w:jc w:val="center"/>
      </w:pPr>
      <w:r>
        <w:rPr>
          <w:b/>
          <w:bCs/>
          <w:lang w:val="vi-VN"/>
        </w:rPr>
        <w:t>ỦY BAN NHÂN DÂN TỈNH VĨNH LONG</w:t>
      </w:r>
    </w:p>
    <w:p w:rsidR="00000000" w:rsidRDefault="004E3375">
      <w:pPr>
        <w:spacing w:before="120" w:after="280" w:afterAutospacing="1"/>
      </w:pPr>
      <w:r>
        <w:rPr>
          <w:i/>
          <w:iCs/>
          <w:lang w:val="vi-VN"/>
        </w:rPr>
        <w:t>Căn cứ Luật Tổ chức chính quyền địa phương ngày 19 tháng 6 năm 2015; Luật sửa đổi, bổ sung một số điều của Luật Tổ chức Chính p</w:t>
      </w:r>
      <w:r>
        <w:rPr>
          <w:i/>
          <w:iCs/>
          <w:lang w:val="vi-VN"/>
        </w:rPr>
        <w:t>hủ và Luật Tổ chức chính quyền địa phương ngày 22 tháng 11 năm 2019;</w:t>
      </w:r>
    </w:p>
    <w:p w:rsidR="00000000" w:rsidRDefault="004E3375">
      <w:pPr>
        <w:spacing w:before="120" w:after="280" w:afterAutospacing="1"/>
      </w:pPr>
      <w:r>
        <w:rPr>
          <w:i/>
          <w:iCs/>
          <w:lang w:val="vi-VN"/>
        </w:rPr>
        <w:t>Căn cứ Luật Ban hành văn bản quy phạm pháp luật ngày 22 tháng 6 năm 2015; Căn cứ Luật sửa đổi, bổ sung một số điều của Luật Ban hành văn bản quy phạm pháp luật năm 2020;</w:t>
      </w:r>
    </w:p>
    <w:p w:rsidR="00000000" w:rsidRDefault="004E3375">
      <w:pPr>
        <w:spacing w:before="120" w:after="280" w:afterAutospacing="1"/>
      </w:pPr>
      <w:r>
        <w:rPr>
          <w:i/>
          <w:iCs/>
          <w:lang w:val="vi-VN"/>
        </w:rPr>
        <w:t xml:space="preserve">Căn cứ Luật Ngân </w:t>
      </w:r>
      <w:r>
        <w:rPr>
          <w:i/>
          <w:iCs/>
          <w:lang w:val="vi-VN"/>
        </w:rPr>
        <w:t>sách Nhà nước ngày 25 tháng 6 năm 2015;</w:t>
      </w:r>
    </w:p>
    <w:p w:rsidR="00000000" w:rsidRDefault="004E3375">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rsidR="00000000" w:rsidRDefault="004E3375">
      <w:pPr>
        <w:spacing w:before="120" w:after="280" w:afterAutospacing="1"/>
      </w:pPr>
      <w:r>
        <w:rPr>
          <w:i/>
          <w:iCs/>
          <w:lang w:val="vi-VN"/>
        </w:rPr>
        <w:t>Theo đề nghị của Sở C</w:t>
      </w:r>
      <w:r>
        <w:rPr>
          <w:i/>
          <w:iCs/>
        </w:rPr>
        <w:t>ô</w:t>
      </w:r>
      <w:r>
        <w:rPr>
          <w:i/>
          <w:iCs/>
          <w:lang w:val="vi-VN"/>
        </w:rPr>
        <w:t>ng Thương tại Tờ trình số 1735/TTr-SCT ngày 30/8/20</w:t>
      </w:r>
      <w:r>
        <w:rPr>
          <w:i/>
          <w:iCs/>
          <w:lang w:val="vi-VN"/>
        </w:rPr>
        <w:t>22 của Sở Công Thương.</w:t>
      </w:r>
    </w:p>
    <w:p w:rsidR="00000000" w:rsidRDefault="004E3375">
      <w:pPr>
        <w:spacing w:before="120" w:after="280" w:afterAutospacing="1"/>
        <w:jc w:val="center"/>
      </w:pPr>
      <w:r>
        <w:rPr>
          <w:b/>
          <w:bCs/>
          <w:lang w:val="vi-VN"/>
        </w:rPr>
        <w:t>QUYẾT ĐỊNH:</w:t>
      </w:r>
    </w:p>
    <w:p w:rsidR="00000000" w:rsidRDefault="004E3375">
      <w:pPr>
        <w:spacing w:before="120" w:after="280" w:afterAutospacing="1"/>
      </w:pPr>
      <w:r>
        <w:rPr>
          <w:b/>
          <w:bCs/>
          <w:lang w:val="vi-VN"/>
        </w:rPr>
        <w:t>Điều 1.</w:t>
      </w:r>
      <w:r>
        <w:rPr>
          <w:lang w:val="vi-VN"/>
        </w:rPr>
        <w:t xml:space="preserve"> Thống nhất thông qua chính sách trong đề nghị xây dựng Nghị quyết Quy định chính sách hỗ trợ đặc thù bảo tồn lò gạch, gốm thuộc Đề án Di sản Đương Đại Mang Thít, tỉnh Vĩnh Long.</w:t>
      </w:r>
    </w:p>
    <w:p w:rsidR="00000000" w:rsidRDefault="004E3375">
      <w:pPr>
        <w:spacing w:before="120" w:after="280" w:afterAutospacing="1"/>
      </w:pPr>
      <w:r>
        <w:rPr>
          <w:b/>
          <w:bCs/>
          <w:lang w:val="vi-VN"/>
        </w:rPr>
        <w:t>1. Mục đích, quan điểm ban hành</w:t>
      </w:r>
    </w:p>
    <w:p w:rsidR="00000000" w:rsidRDefault="004E3375">
      <w:pPr>
        <w:spacing w:before="120" w:after="280" w:afterAutospacing="1"/>
      </w:pPr>
      <w:r>
        <w:rPr>
          <w:b/>
          <w:bCs/>
          <w:lang w:val="vi-VN"/>
        </w:rPr>
        <w:t xml:space="preserve">a) </w:t>
      </w:r>
      <w:r>
        <w:rPr>
          <w:b/>
          <w:bCs/>
          <w:lang w:val="vi-VN"/>
        </w:rPr>
        <w:t>Mục đích</w:t>
      </w:r>
    </w:p>
    <w:p w:rsidR="00000000" w:rsidRDefault="004E3375">
      <w:pPr>
        <w:spacing w:before="120" w:after="280" w:afterAutospacing="1"/>
      </w:pPr>
      <w:r>
        <w:rPr>
          <w:lang w:val="vi-VN"/>
        </w:rPr>
        <w:t>Thực hiện chính sách hỗ trợ để các lò gạch, gốm được bảo tồn và phát triển “vương quốc lò gạch” Mang Thít trở thành một vùng di sản đương đại có giá trị mang tầm cỡ quốc tế, một điểm đến trên bản đồ du lịch khu vực phù hợp với chiến lược phát triể</w:t>
      </w:r>
      <w:r>
        <w:rPr>
          <w:lang w:val="vi-VN"/>
        </w:rPr>
        <w:t>n bền vững về kinh tế, xã hội của địa phương và của quốc gia trên cơ sở bảo tồn và phát huy các giá trị di sản, văn hóa và hệ sinh thái địa phương</w:t>
      </w:r>
    </w:p>
    <w:p w:rsidR="00000000" w:rsidRDefault="004E3375">
      <w:pPr>
        <w:spacing w:before="120" w:after="280" w:afterAutospacing="1"/>
      </w:pPr>
      <w:r>
        <w:rPr>
          <w:b/>
          <w:bCs/>
          <w:lang w:val="vi-VN"/>
        </w:rPr>
        <w:lastRenderedPageBreak/>
        <w:t>b) Quan điểm</w:t>
      </w:r>
    </w:p>
    <w:p w:rsidR="00000000" w:rsidRDefault="004E3375">
      <w:pPr>
        <w:spacing w:before="120" w:after="280" w:afterAutospacing="1"/>
      </w:pPr>
      <w:r>
        <w:rPr>
          <w:lang w:val="vi-VN"/>
        </w:rPr>
        <w:t xml:space="preserve">Nghị quyết được xây dựng phù hợp với đường lối, chủ trương của Đảng và chính sách pháp luật của </w:t>
      </w:r>
      <w:r>
        <w:rPr>
          <w:lang w:val="vi-VN"/>
        </w:rPr>
        <w:t>Nhà nước về chính sách bảo tồn lò gạch, gốm thuộc Đề án Di sản Đương Đại Mang Thít, tỉnh Vĩnh Long tỉnh Vĩnh Long, đảm bảo tính hợp hiến, hợp pháp, tính khả thi trong công tác xây dựng, ban hành văn bản quy phạm pháp luật, phù hợp với định hướng phát triển</w:t>
      </w:r>
      <w:r>
        <w:rPr>
          <w:lang w:val="vi-VN"/>
        </w:rPr>
        <w:t xml:space="preserve"> kinh tế - xã hội của tỉnh Vĩnh Long.</w:t>
      </w:r>
    </w:p>
    <w:p w:rsidR="00000000" w:rsidRDefault="004E3375">
      <w:pPr>
        <w:spacing w:before="120" w:after="280" w:afterAutospacing="1"/>
      </w:pPr>
      <w:r>
        <w:rPr>
          <w:b/>
          <w:bCs/>
          <w:lang w:val="vi-VN"/>
        </w:rPr>
        <w:t>2. Phạm vi điều chỉnh và đối tượng áp dụng</w:t>
      </w:r>
    </w:p>
    <w:p w:rsidR="00000000" w:rsidRDefault="004E3375">
      <w:pPr>
        <w:spacing w:before="120" w:after="280" w:afterAutospacing="1"/>
      </w:pPr>
      <w:r>
        <w:rPr>
          <w:lang w:val="vi-VN"/>
        </w:rPr>
        <w:t>a) Phạm vi điều chỉnh</w:t>
      </w:r>
    </w:p>
    <w:p w:rsidR="00000000" w:rsidRDefault="004E3375">
      <w:pPr>
        <w:spacing w:before="120" w:after="280" w:afterAutospacing="1"/>
      </w:pPr>
      <w:r>
        <w:rPr>
          <w:lang w:val="vi-VN"/>
        </w:rPr>
        <w:t>Theo phạm vi được quy định tại điểm a khoản 2 Điều 1 Quyết định số 3502/QĐ-UBND ngày 20/12/2021 của Ủy ban nhân dân tỉnh Vĩnh Long phê duyệt Đề án Di sản</w:t>
      </w:r>
      <w:r>
        <w:rPr>
          <w:lang w:val="vi-VN"/>
        </w:rPr>
        <w:t xml:space="preserve"> đương đại Mang Thít, cụ thể: Toàn bộ vùng di sản (khoảng 3.060 hecta) thuộc 04 xã Mỹ An, Mỹ Phước, Nhơn Phú, Hòa Tịnh và một phần vùng đệm di sản (khoảng 5.000 hecta), thuộc 02 xã An Phước và Chánh An, huyện Mang Thít làm cơ sở xác định phạm vi khoanh vùn</w:t>
      </w:r>
      <w:r>
        <w:rPr>
          <w:lang w:val="vi-VN"/>
        </w:rPr>
        <w:t>g dừng phá dỡ lò gạch và phát triển đề án.</w:t>
      </w:r>
    </w:p>
    <w:p w:rsidR="00000000" w:rsidRDefault="004E3375">
      <w:pPr>
        <w:spacing w:before="120" w:after="280" w:afterAutospacing="1"/>
      </w:pPr>
      <w:r>
        <w:rPr>
          <w:lang w:val="vi-VN"/>
        </w:rPr>
        <w:t>b) Đối tượng áp dụng:</w:t>
      </w:r>
    </w:p>
    <w:p w:rsidR="00000000" w:rsidRDefault="004E3375">
      <w:pPr>
        <w:spacing w:before="120" w:after="280" w:afterAutospacing="1"/>
      </w:pPr>
      <w:r>
        <w:rPr>
          <w:lang w:val="vi-VN"/>
        </w:rPr>
        <w:t>- Các tổ chức, cá nhân có lò gạch, gốm thuộc phạm vi điều chỉnh tại khoản 1 điều này.</w:t>
      </w:r>
    </w:p>
    <w:p w:rsidR="00000000" w:rsidRDefault="004E3375">
      <w:pPr>
        <w:spacing w:before="120" w:after="280" w:afterAutospacing="1"/>
      </w:pPr>
      <w:r>
        <w:rPr>
          <w:lang w:val="vi-VN"/>
        </w:rPr>
        <w:t>- Các cơ quan, tổ chức có liên quan trong việc thực hiện chính sách hỗ trợ thuộc Đề án.</w:t>
      </w:r>
    </w:p>
    <w:p w:rsidR="00000000" w:rsidRDefault="004E3375">
      <w:pPr>
        <w:spacing w:before="120" w:after="280" w:afterAutospacing="1"/>
      </w:pPr>
      <w:r>
        <w:rPr>
          <w:b/>
          <w:bCs/>
          <w:lang w:val="vi-VN"/>
        </w:rPr>
        <w:t xml:space="preserve">3. Mục tiêu, nội </w:t>
      </w:r>
      <w:r>
        <w:rPr>
          <w:b/>
          <w:bCs/>
          <w:lang w:val="vi-VN"/>
        </w:rPr>
        <w:t>dung của chính sách, giải pháp thực hiện chính sách</w:t>
      </w:r>
    </w:p>
    <w:p w:rsidR="00000000" w:rsidRDefault="004E3375">
      <w:pPr>
        <w:spacing w:before="120" w:after="280" w:afterAutospacing="1"/>
      </w:pPr>
      <w:r>
        <w:rPr>
          <w:lang w:val="vi-VN"/>
        </w:rPr>
        <w:t>a) Mục tiêu của chính sách</w:t>
      </w:r>
    </w:p>
    <w:p w:rsidR="00000000" w:rsidRDefault="004E3375">
      <w:pPr>
        <w:spacing w:before="120" w:after="280" w:afterAutospacing="1"/>
      </w:pPr>
      <w:r>
        <w:rPr>
          <w:lang w:val="vi-VN"/>
        </w:rPr>
        <w:t>Quy định chính sách hỗ trợ bảo tồn lò gạch, gốm theo phạm vi điều chỉnh của Đề án Di sản Đương đại Mang Thít là chính sách đặc thù của tỉnh hỗ trợ một phần chi phí bảo tồn lò gạ</w:t>
      </w:r>
      <w:r>
        <w:rPr>
          <w:lang w:val="vi-VN"/>
        </w:rPr>
        <w:t>ch, gốm để đưa ra một mô hình phát triển kinh tế - xã hội sáng tạo, bền vững và nhân văn, dựa trên việc khám phá, thiết kế, khai thác các mô hình sáng kiến về chuyển đổi công năng, quy hoạch không gian cũng như tính khả thi về các chương trình hoạt động đầ</w:t>
      </w:r>
      <w:r>
        <w:rPr>
          <w:lang w:val="vi-VN"/>
        </w:rPr>
        <w:t>u tư khả thi mang lại sức sống mới để di sản Mang Thít thực sự hội tụ đủ các yếu tố hình - lý - khí để trở thành một điểm đến và điểm dừng mang tầm cỡ quốc tế.</w:t>
      </w:r>
    </w:p>
    <w:p w:rsidR="00000000" w:rsidRDefault="004E3375">
      <w:pPr>
        <w:spacing w:before="120" w:after="280" w:afterAutospacing="1"/>
      </w:pPr>
      <w:r>
        <w:rPr>
          <w:lang w:val="vi-VN"/>
        </w:rPr>
        <w:t xml:space="preserve">b) Nội dung của chính sách: Quy định chính sách hỗ trợ đặc thù bảo tồn lò gạch, gốm thuộc Đề án </w:t>
      </w:r>
      <w:r>
        <w:rPr>
          <w:lang w:val="vi-VN"/>
        </w:rPr>
        <w:t>Di sản Đương đại Mang Thít.</w:t>
      </w:r>
    </w:p>
    <w:p w:rsidR="00000000" w:rsidRDefault="004E3375">
      <w:pPr>
        <w:spacing w:before="120" w:after="280" w:afterAutospacing="1"/>
      </w:pPr>
      <w:r>
        <w:rPr>
          <w:lang w:val="vi-VN"/>
        </w:rPr>
        <w:t>c) Giải pháp thực hiện chính sách đã lựa chọn và lý do lựa chọn</w:t>
      </w:r>
    </w:p>
    <w:p w:rsidR="00000000" w:rsidRDefault="004E3375">
      <w:pPr>
        <w:spacing w:before="120" w:after="280" w:afterAutospacing="1"/>
      </w:pPr>
      <w:r>
        <w:rPr>
          <w:lang w:val="vi-VN"/>
        </w:rPr>
        <w:t>Trên cơ sở đánh giá tác động cũng như so sánh tác động ảnh hưởng về mặt chi phí, lợi ích, nhận thấy nếu lựa chọn giải pháp ban hành Nghị quyết là hợp lý, phù hợp vớ</w:t>
      </w:r>
      <w:r>
        <w:rPr>
          <w:lang w:val="vi-VN"/>
        </w:rPr>
        <w:t>i tình hình thực tế tại địa phương.</w:t>
      </w:r>
    </w:p>
    <w:p w:rsidR="00000000" w:rsidRDefault="004E3375">
      <w:pPr>
        <w:spacing w:before="120" w:after="280" w:afterAutospacing="1"/>
      </w:pPr>
      <w:r>
        <w:rPr>
          <w:lang w:val="vi-VN"/>
        </w:rPr>
        <w:lastRenderedPageBreak/>
        <w:t>Sau khi Nghị quyết được Hội đồng nhân dân tỉnh thông qua, Ủy ban nhân dân huyện Mang Thít chủ trì, phối hợp với các sở, ngành liên quan tổ chức triển khai thực hiện chính sách hỗ trợ tại Nghị quyết.</w:t>
      </w:r>
    </w:p>
    <w:p w:rsidR="00000000" w:rsidRDefault="004E3375">
      <w:pPr>
        <w:spacing w:before="120" w:after="280" w:afterAutospacing="1"/>
      </w:pPr>
      <w:r>
        <w:rPr>
          <w:lang w:val="vi-VN"/>
        </w:rPr>
        <w:t>Các ngành, đơn vị liê</w:t>
      </w:r>
      <w:r>
        <w:rPr>
          <w:lang w:val="vi-VN"/>
        </w:rPr>
        <w:t xml:space="preserve">n quan căn cứ Nghị quyết và phân công của Ủy ban nhân dân tỉnh tổ chức thực hiện chính sách theo chức năng, nhiệm vụ của ngành, đơn vị, thực hiện phối hợp để chính sách được triển khai kịp thời, đạt hiệu quả, kịp thời báo cáo, đề xuất Ủy ban nhân dân tỉnh </w:t>
      </w:r>
      <w:r>
        <w:rPr>
          <w:lang w:val="vi-VN"/>
        </w:rPr>
        <w:t>tháo gỡ những khó khăn vướng mắc trong quá trình triển khai thực hiện.</w:t>
      </w:r>
    </w:p>
    <w:p w:rsidR="00000000" w:rsidRDefault="004E3375">
      <w:pPr>
        <w:spacing w:before="120" w:after="280" w:afterAutospacing="1"/>
      </w:pPr>
      <w:r>
        <w:rPr>
          <w:b/>
          <w:bCs/>
          <w:lang w:val="vi-VN"/>
        </w:rPr>
        <w:t>Điều 2.</w:t>
      </w:r>
      <w:r>
        <w:rPr>
          <w:lang w:val="vi-VN"/>
        </w:rPr>
        <w:t xml:space="preserve"> Giao Sở Công Thương chủ trì, phối hợp với Sở Tư pháp và các cơ quan, đơn vị có liên quan hoàn tất hồ sơ, thủ tục cần thiết để trình Thường trực Hội đồng nhân dân tỉnh thông qua </w:t>
      </w:r>
      <w:r>
        <w:rPr>
          <w:lang w:val="vi-VN"/>
        </w:rPr>
        <w:t>đề nghị xây dựng nghị quyết Quy định chính sách hỗ trợ đặc thù bảo tồn lò gạch, gốm thuộc Đề án Di sản Đương Đại Mang Thít, tỉnh Vĩnh Long.</w:t>
      </w:r>
    </w:p>
    <w:p w:rsidR="00000000" w:rsidRDefault="004E3375">
      <w:pPr>
        <w:spacing w:before="120" w:after="280" w:afterAutospacing="1"/>
      </w:pPr>
      <w:r>
        <w:rPr>
          <w:b/>
          <w:bCs/>
          <w:lang w:val="vi-VN"/>
        </w:rPr>
        <w:t>Điều 3.</w:t>
      </w:r>
      <w:r>
        <w:rPr>
          <w:lang w:val="vi-VN"/>
        </w:rPr>
        <w:t xml:space="preserve"> Chánh Văn phòng UBND tỉnh, Giám đốc Sở Công Thương, Giám đốc Sở Tư pháp và Thủ trưởng các cơ quan, đơn vị có</w:t>
      </w:r>
      <w:r>
        <w:rPr>
          <w:lang w:val="vi-VN"/>
        </w:rPr>
        <w:t xml:space="preserve"> liên quan chịu trách nhiệm thi hành Quyết định này.</w:t>
      </w:r>
    </w:p>
    <w:p w:rsidR="00000000" w:rsidRDefault="004E3375">
      <w:pPr>
        <w:spacing w:before="120" w:after="280" w:afterAutospacing="1"/>
      </w:pPr>
      <w:r>
        <w:rPr>
          <w:lang w:val="vi-VN"/>
        </w:rPr>
        <w:t>Quyết định này có hiệu lực kể từ ngày ký./.</w:t>
      </w:r>
    </w:p>
    <w:p w:rsidR="00000000" w:rsidRDefault="004E33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75">
            <w:pPr>
              <w:spacing w:before="120"/>
            </w:pPr>
            <w:r>
              <w:rPr>
                <w:b/>
                <w:bCs/>
                <w:i/>
                <w:iCs/>
                <w:lang w:val="vi-VN"/>
              </w:rPr>
              <w:br/>
              <w:t>Nơi nhận:</w:t>
            </w:r>
            <w:r>
              <w:rPr>
                <w:b/>
                <w:bCs/>
                <w:i/>
                <w:iCs/>
                <w:lang w:val="vi-VN"/>
              </w:rPr>
              <w:br/>
            </w:r>
            <w:r>
              <w:rPr>
                <w:sz w:val="16"/>
                <w:lang w:val="vi-VN"/>
              </w:rPr>
              <w:t>- TT.HĐND tỉnh;</w:t>
            </w:r>
            <w:r>
              <w:rPr>
                <w:sz w:val="16"/>
                <w:lang w:val="vi-VN"/>
              </w:rPr>
              <w:br/>
              <w:t xml:space="preserve">- TT.UBND tỉnh; </w:t>
            </w:r>
            <w:r>
              <w:rPr>
                <w:sz w:val="16"/>
              </w:rPr>
              <w:br/>
            </w:r>
            <w:r>
              <w:rPr>
                <w:sz w:val="16"/>
                <w:lang w:val="vi-VN"/>
              </w:rPr>
              <w:t>- Như Điều 3;</w:t>
            </w:r>
            <w:r>
              <w:rPr>
                <w:sz w:val="16"/>
                <w:lang w:val="vi-VN"/>
              </w:rPr>
              <w:br/>
              <w:t>- LĐVP. UBND tỉnh;</w:t>
            </w:r>
            <w:r>
              <w:rPr>
                <w:sz w:val="16"/>
                <w:lang w:val="vi-VN"/>
              </w:rPr>
              <w:br/>
              <w:t xml:space="preserve">- Phòng KT-NV; </w:t>
            </w:r>
            <w:r>
              <w:rPr>
                <w:sz w:val="16"/>
              </w:rPr>
              <w:br/>
            </w:r>
            <w:r>
              <w:rPr>
                <w:sz w:val="16"/>
                <w:lang w:val="vi-VN"/>
              </w:rPr>
              <w:t>- Lưu: VT.5.01.05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75">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Liệt</w:t>
            </w:r>
          </w:p>
        </w:tc>
      </w:tr>
    </w:tbl>
    <w:p w:rsidR="00000000" w:rsidRDefault="004E3375">
      <w:pPr>
        <w:spacing w:before="120" w:after="280" w:afterAutospacing="1"/>
      </w:pPr>
      <w:r>
        <w:t> </w:t>
      </w:r>
    </w:p>
    <w:p w:rsidR="00000000" w:rsidRDefault="004E3375">
      <w:pPr>
        <w:spacing w:before="120" w:after="280" w:afterAutospacing="1"/>
      </w:pPr>
      <w:r>
        <w:rPr>
          <w:lang w:val="vi-VN"/>
        </w:rPr>
        <w:t> </w:t>
      </w:r>
    </w:p>
    <w:p w:rsidR="004E3375" w:rsidRDefault="004E3375">
      <w:pPr>
        <w:spacing w:before="120" w:after="280" w:afterAutospacing="1"/>
      </w:pPr>
      <w:r>
        <w:rPr>
          <w:b/>
          <w:bCs/>
        </w:rPr>
        <w:t> </w:t>
      </w:r>
    </w:p>
    <w:sectPr w:rsidR="004E33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0C"/>
    <w:rsid w:val="0020530C"/>
    <w:rsid w:val="004E33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2022-10-21T09:42:00Z</dcterms:created>
  <dcterms:modified xsi:type="dcterms:W3CDTF">2022-10-21T09:42:00Z</dcterms:modified>
</cp:coreProperties>
</file>