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6C3FD8" w:rsidRPr="006C3FD8" w:rsidTr="006C3FD8">
        <w:tc>
          <w:tcPr>
            <w:tcW w:w="3348" w:type="dxa"/>
            <w:tcMar>
              <w:top w:w="0" w:type="dxa"/>
              <w:left w:w="108" w:type="dxa"/>
              <w:bottom w:w="0" w:type="dxa"/>
              <w:right w:w="108" w:type="dxa"/>
            </w:tcMa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THỦ TƯỚNG CHÍNH PHỦ</w:t>
            </w:r>
            <w:r w:rsidRPr="006C3FD8">
              <w:rPr>
                <w:rFonts w:ascii="Helvetica" w:eastAsia="Times New Roman" w:hAnsi="Helvetica" w:cs="Helvetica"/>
                <w:b/>
                <w:bCs/>
                <w:color w:val="000000"/>
                <w:sz w:val="21"/>
                <w:szCs w:val="21"/>
              </w:rPr>
              <w:br/>
              <w:t>-------</w:t>
            </w:r>
          </w:p>
        </w:tc>
        <w:tc>
          <w:tcPr>
            <w:tcW w:w="5508" w:type="dxa"/>
            <w:tcMar>
              <w:top w:w="0" w:type="dxa"/>
              <w:left w:w="108" w:type="dxa"/>
              <w:bottom w:w="0" w:type="dxa"/>
              <w:right w:w="108" w:type="dxa"/>
            </w:tcMa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CỘNG HÒA XÃ HỘI CHỦ NGHĨA VIỆT NAM</w:t>
            </w:r>
            <w:r w:rsidRPr="006C3FD8">
              <w:rPr>
                <w:rFonts w:ascii="Helvetica" w:eastAsia="Times New Roman" w:hAnsi="Helvetica" w:cs="Helvetica"/>
                <w:b/>
                <w:bCs/>
                <w:color w:val="000000"/>
                <w:sz w:val="21"/>
                <w:szCs w:val="21"/>
              </w:rPr>
              <w:br/>
              <w:t>Độc lập - Tự do - Hạnh phúc</w:t>
            </w:r>
            <w:r w:rsidRPr="006C3FD8">
              <w:rPr>
                <w:rFonts w:ascii="Helvetica" w:eastAsia="Times New Roman" w:hAnsi="Helvetica" w:cs="Helvetica"/>
                <w:b/>
                <w:bCs/>
                <w:color w:val="000000"/>
                <w:sz w:val="21"/>
                <w:szCs w:val="21"/>
              </w:rPr>
              <w:br/>
              <w:t>---------------</w:t>
            </w:r>
          </w:p>
        </w:tc>
      </w:tr>
      <w:tr w:rsidR="006C3FD8" w:rsidRPr="006C3FD8" w:rsidTr="006C3FD8">
        <w:tc>
          <w:tcPr>
            <w:tcW w:w="3348" w:type="dxa"/>
            <w:tcMar>
              <w:top w:w="0" w:type="dxa"/>
              <w:left w:w="108" w:type="dxa"/>
              <w:bottom w:w="0" w:type="dxa"/>
              <w:right w:w="108" w:type="dxa"/>
            </w:tcMa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 xml:space="preserve">Số: </w:t>
            </w:r>
            <w:bookmarkStart w:id="0" w:name="_GoBack"/>
            <w:r w:rsidRPr="006C3FD8">
              <w:rPr>
                <w:rFonts w:ascii="Helvetica" w:eastAsia="Times New Roman" w:hAnsi="Helvetica" w:cs="Helvetica"/>
                <w:color w:val="000000"/>
                <w:sz w:val="21"/>
                <w:szCs w:val="21"/>
              </w:rPr>
              <w:t>18/2023/QĐ-TTg</w:t>
            </w:r>
            <w:bookmarkEnd w:id="0"/>
          </w:p>
        </w:tc>
        <w:tc>
          <w:tcPr>
            <w:tcW w:w="5508" w:type="dxa"/>
            <w:tcMar>
              <w:top w:w="0" w:type="dxa"/>
              <w:left w:w="108" w:type="dxa"/>
              <w:bottom w:w="0" w:type="dxa"/>
              <w:right w:w="108" w:type="dxa"/>
            </w:tcMar>
            <w:hideMark/>
          </w:tcPr>
          <w:p w:rsidR="006C3FD8" w:rsidRPr="006C3FD8" w:rsidRDefault="006C3FD8" w:rsidP="006C3FD8">
            <w:pPr>
              <w:spacing w:before="120" w:after="100" w:afterAutospacing="1" w:line="240" w:lineRule="auto"/>
              <w:jc w:val="right"/>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Hà Nội, ngày 01 tháng 7 năm 2023</w:t>
            </w:r>
          </w:p>
        </w:tc>
      </w:tr>
    </w:tbl>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p>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4"/>
          <w:szCs w:val="24"/>
        </w:rPr>
        <w:t>QUYẾT ĐỊNH</w:t>
      </w:r>
    </w:p>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Căn cứ Luật Đầu tư công ngày 13 tháng 6 năm 2019;</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Căn cứ Luật Ngân sách nhà nước ngày 25 tháng 6 năm 2015;</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Theo đề nghị của Bộ trưởng, Chủ nhiệm Ủy ban Dân tộc;</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i/>
          <w:iCs/>
          <w:color w:val="000000"/>
          <w:sz w:val="21"/>
          <w:szCs w:val="21"/>
        </w:rPr>
        <w:t>Thủ tướng Chính phủ ban hành Quyết định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Điều 1.</w:t>
      </w:r>
      <w:r w:rsidRPr="006C3FD8">
        <w:rPr>
          <w:rFonts w:ascii="Helvetica" w:eastAsia="Times New Roman" w:hAnsi="Helvetica" w:cs="Helvetica"/>
          <w:color w:val="000000"/>
          <w:sz w:val="21"/>
          <w:szCs w:val="21"/>
        </w:rPr>
        <w:t>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1. Sửa đổi, bổ sung điểm b khoản 1 Điều 6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 Các địa phương bố trí đủ vốn ngân sách địa phương giai đoạn 2021 - 2025 để thực hiện các mục tiêu, nhiệm vụ đã được cấp thẩm quyền phê duyệt.</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Địa phương được hỗ trợ vốn từ ngân sách trung ương thực hiện chương trình mục tiêu quốc gia chịu trách nhiệm bố trí vốn ngân sách địa phương giai đoạn 5 năm, cân đối vốn ngân sách địa phương hằng năm không thấp hơn mức vốn đối ứng thực hiện Chương trình tại địa phương theo quy định tại điểm b khoản 2 Điều 6 Quyết định số 39/2021/QĐ-TTg”.</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lastRenderedPageBreak/>
        <w:t>2. Bãi bỏ quy định “phân bổ cho Ủy ban Dân tộc: Không quá 17% tổng số vốn của tiểu dự án” quy định tại điểm a khoản 2.1, Tiểu dự án 2: Hỗ trợ phát triển sản xuất theo chuỗi giá trị, vùng trồng dược liệu quý, thúc đẩy khởi sự kinh doanh, khởi nghiệp và thu hút đầu tư vùng đồng bào dân tộc thiểu số và miền núi, Phụ lục III.</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3. Sửa đổi, bổ sung điểm 1.1, Tiểu dự án 2: Đầu tư cơ sở vật chất các đơn vị sự nghiệp công lập của lĩnh vực công tác dân tộc, Phụ lục IV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“1.1. Phân bổ vốn đầu tư:</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Ủy ban Dân tộc thực hiện đầu tư các Trường: Phổ thông Vùng cao Việt Bắc, Dự bị Đại học Dân tộc Trung ương, Dự bị Đại học Dân tộc Sầm Sơn, Dự bị Đại học Dân tộc Nha Trang, Dự bị Đại học Thành phố Hồ Chí Minh: Kinh phí phân bổ không quá 43% tổng số vốn tiểu dự án.</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Bộ Giáo dục và Đào tạo thực hiện đầu tư các Trường Đại học Tây Bắc, Đại học Tây Nguyên, Hữu Nghị T78, Hữu Nghị 80: Kinh phí phân bổ không quá 49% tổng số vốn tiểu dự án.</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Ủy ban nhân dân tỉnh Tuyên Quang thực hiện đầu tư Trường Đại học Tân Trào: Kinh phí phân bổ không quá 9% tổng số vốn tiểu dự án”.</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4. Sửa đổi, bổ sung điểm b khoản 2.2, Tiểu dự án 2: Bồi dưỡng kiến thức dân tộc; đào tạo dự bị đại học, đại học và sau đại học đáp ứng nhu cầu nhân lực cho vùng đồng bào dân tộc thiểu số, Phụ lục V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 Nội dung 2. Đào tạo dự bị đại học, đại học, sau đại học</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Đào tạo dự bị đại học, phân bổ cho Ủy ban Dân tộc không quá 20% số vốn nội dung 2 của tiểu dự án”.</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5. Sửa đổi tổng điểm của tiêu chí số 2, điểm b khoản 4.2, Tiểu dự án 4 Đào tạo nâng cao năng lực cho cộng đồng và cán bộ triển khai Chương trình ở các cấp, Phụ lục V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“4.2 Phân bổ vốn sự nghiệp:</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 Phân bổ cho các địa phương: Áp dụng phương pháp tính điểm theo các tiêu chí như sau:</w:t>
      </w:r>
    </w:p>
    <w:tbl>
      <w:tblPr>
        <w:tblW w:w="5000" w:type="pct"/>
        <w:tblCellMar>
          <w:left w:w="0" w:type="dxa"/>
          <w:right w:w="0" w:type="dxa"/>
        </w:tblCellMar>
        <w:tblLook w:val="04A0" w:firstRow="1" w:lastRow="0" w:firstColumn="1" w:lastColumn="0" w:noHBand="0" w:noVBand="1"/>
      </w:tblPr>
      <w:tblGrid>
        <w:gridCol w:w="555"/>
        <w:gridCol w:w="5172"/>
        <w:gridCol w:w="831"/>
        <w:gridCol w:w="1016"/>
        <w:gridCol w:w="1477"/>
      </w:tblGrid>
      <w:tr w:rsidR="006C3FD8" w:rsidRPr="006C3FD8" w:rsidTr="006C3FD8">
        <w:tc>
          <w:tcPr>
            <w:tcW w:w="300" w:type="pct"/>
            <w:tcBorders>
              <w:top w:val="single" w:sz="8" w:space="0" w:color="auto"/>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TT</w:t>
            </w:r>
          </w:p>
        </w:tc>
        <w:tc>
          <w:tcPr>
            <w:tcW w:w="280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Nội dung tiêu chí</w:t>
            </w:r>
          </w:p>
        </w:tc>
        <w:tc>
          <w:tcPr>
            <w:tcW w:w="45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Điểm</w:t>
            </w:r>
          </w:p>
        </w:tc>
        <w:tc>
          <w:tcPr>
            <w:tcW w:w="55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Số lượng</w:t>
            </w:r>
          </w:p>
        </w:tc>
        <w:tc>
          <w:tcPr>
            <w:tcW w:w="80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Tổng số điểm</w:t>
            </w:r>
          </w:p>
        </w:tc>
      </w:tr>
      <w:tr w:rsidR="006C3FD8" w:rsidRPr="006C3FD8" w:rsidTr="006C3FD8">
        <w:tc>
          <w:tcPr>
            <w:tcW w:w="300" w:type="pct"/>
            <w:tcBorders>
              <w:top w:val="nil"/>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2</w:t>
            </w:r>
          </w:p>
        </w:tc>
        <w:tc>
          <w:tcPr>
            <w:tcW w:w="280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Mỗi thôn ĐBKK không thuộc xã khu vực III (Số thôn ĐBKK được tính điểm phân bổ vốn không quá 04 thôn/xã ngoài khu vực III)</w:t>
            </w:r>
          </w:p>
        </w:tc>
        <w:tc>
          <w:tcPr>
            <w:tcW w:w="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1,5</w:t>
            </w:r>
          </w:p>
        </w:tc>
        <w:tc>
          <w:tcPr>
            <w:tcW w:w="5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w:t>
            </w:r>
          </w:p>
        </w:tc>
        <w:tc>
          <w:tcPr>
            <w:tcW w:w="80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1,5 x b</w:t>
            </w:r>
          </w:p>
        </w:tc>
      </w:tr>
    </w:tbl>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6. Sửa đổi điểm a khoản 2, Tiểu dự án 2 Ứng dụng công nghệ thông tin hỗ trợ phát triển kinh tế - xã hội và đảm bảo an ninh trật tự vùng đồng bào dân tộc thiểu số và miền núi, Phụ lục X như sau:</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“a) Phân bổ vốn đầu tư</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 Phân bổ cho Liên minh Hợp tác xã Việt Nam không quá 0,5% tổng vốn đầu tư của tiểu dự án</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 Phân bổ cho các địa phương: Áp dụng phương pháp tính điểm theo các tiêu chí như sau:</w:t>
      </w:r>
    </w:p>
    <w:tbl>
      <w:tblPr>
        <w:tblW w:w="5000" w:type="pct"/>
        <w:tblCellMar>
          <w:left w:w="0" w:type="dxa"/>
          <w:right w:w="0" w:type="dxa"/>
        </w:tblCellMar>
        <w:tblLook w:val="04A0" w:firstRow="1" w:lastRow="0" w:firstColumn="1" w:lastColumn="0" w:noHBand="0" w:noVBand="1"/>
      </w:tblPr>
      <w:tblGrid>
        <w:gridCol w:w="559"/>
        <w:gridCol w:w="4573"/>
        <w:gridCol w:w="840"/>
        <w:gridCol w:w="1213"/>
        <w:gridCol w:w="1866"/>
      </w:tblGrid>
      <w:tr w:rsidR="006C3FD8" w:rsidRPr="006C3FD8" w:rsidTr="006C3FD8">
        <w:tc>
          <w:tcPr>
            <w:tcW w:w="300" w:type="pct"/>
            <w:tcBorders>
              <w:top w:val="single" w:sz="8" w:space="0" w:color="auto"/>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TT</w:t>
            </w:r>
          </w:p>
        </w:tc>
        <w:tc>
          <w:tcPr>
            <w:tcW w:w="245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Nội dung tiêu chí</w:t>
            </w:r>
          </w:p>
        </w:tc>
        <w:tc>
          <w:tcPr>
            <w:tcW w:w="45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Điểm</w:t>
            </w:r>
          </w:p>
        </w:tc>
        <w:tc>
          <w:tcPr>
            <w:tcW w:w="65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Số lượng</w:t>
            </w:r>
          </w:p>
        </w:tc>
        <w:tc>
          <w:tcPr>
            <w:tcW w:w="1000" w:type="pct"/>
            <w:tcBorders>
              <w:top w:val="single" w:sz="8" w:space="0" w:color="auto"/>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Tổng số điểm</w:t>
            </w:r>
          </w:p>
        </w:tc>
      </w:tr>
      <w:tr w:rsidR="006C3FD8" w:rsidRPr="006C3FD8" w:rsidTr="006C3FD8">
        <w:tc>
          <w:tcPr>
            <w:tcW w:w="300" w:type="pct"/>
            <w:tcBorders>
              <w:top w:val="nil"/>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1</w:t>
            </w:r>
          </w:p>
        </w:tc>
        <w:tc>
          <w:tcPr>
            <w:tcW w:w="2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Mỗi xã ĐBKK thuộc vùng đồng bào dân tộc thiểu số</w:t>
            </w:r>
          </w:p>
        </w:tc>
        <w:tc>
          <w:tcPr>
            <w:tcW w:w="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30</w:t>
            </w:r>
          </w:p>
        </w:tc>
        <w:tc>
          <w:tcPr>
            <w:tcW w:w="6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a</w:t>
            </w:r>
          </w:p>
        </w:tc>
        <w:tc>
          <w:tcPr>
            <w:tcW w:w="100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30 x a</w:t>
            </w:r>
          </w:p>
        </w:tc>
      </w:tr>
      <w:tr w:rsidR="006C3FD8" w:rsidRPr="006C3FD8" w:rsidTr="006C3FD8">
        <w:tc>
          <w:tcPr>
            <w:tcW w:w="300" w:type="pct"/>
            <w:tcBorders>
              <w:top w:val="nil"/>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2</w:t>
            </w:r>
          </w:p>
        </w:tc>
        <w:tc>
          <w:tcPr>
            <w:tcW w:w="2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Mỗi thôn ĐBKK không thuộc xã khu vực III </w:t>
            </w:r>
            <w:r w:rsidRPr="006C3FD8">
              <w:rPr>
                <w:rFonts w:ascii="Helvetica" w:eastAsia="Times New Roman" w:hAnsi="Helvetica" w:cs="Helvetica"/>
                <w:i/>
                <w:iCs/>
                <w:color w:val="000000"/>
                <w:sz w:val="21"/>
                <w:szCs w:val="21"/>
              </w:rPr>
              <w:t>(số thôn ĐBKK được tính điểm phân bổ vốn không quá 4 thôn/xã)</w:t>
            </w:r>
          </w:p>
        </w:tc>
        <w:tc>
          <w:tcPr>
            <w:tcW w:w="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0,5</w:t>
            </w:r>
          </w:p>
        </w:tc>
        <w:tc>
          <w:tcPr>
            <w:tcW w:w="6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b</w:t>
            </w:r>
          </w:p>
        </w:tc>
        <w:tc>
          <w:tcPr>
            <w:tcW w:w="100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0,5 x b</w:t>
            </w:r>
          </w:p>
        </w:tc>
      </w:tr>
      <w:tr w:rsidR="006C3FD8" w:rsidRPr="006C3FD8" w:rsidTr="006C3FD8">
        <w:tc>
          <w:tcPr>
            <w:tcW w:w="300" w:type="pct"/>
            <w:tcBorders>
              <w:top w:val="nil"/>
              <w:left w:val="single" w:sz="8" w:space="0" w:color="auto"/>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 </w:t>
            </w:r>
          </w:p>
        </w:tc>
        <w:tc>
          <w:tcPr>
            <w:tcW w:w="2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Tổng cộng điểm</w:t>
            </w:r>
          </w:p>
        </w:tc>
        <w:tc>
          <w:tcPr>
            <w:tcW w:w="4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 </w:t>
            </w:r>
          </w:p>
        </w:tc>
        <w:tc>
          <w:tcPr>
            <w:tcW w:w="65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 </w:t>
            </w:r>
          </w:p>
        </w:tc>
        <w:tc>
          <w:tcPr>
            <w:tcW w:w="1000" w:type="pct"/>
            <w:tcBorders>
              <w:top w:val="nil"/>
              <w:left w:val="nil"/>
              <w:bottom w:val="single" w:sz="8" w:space="0" w:color="auto"/>
              <w:right w:val="single" w:sz="8" w:space="0" w:color="auto"/>
            </w:tcBorders>
            <w:vAlign w:val="cente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X</w:t>
            </w:r>
            <w:r w:rsidRPr="006C3FD8">
              <w:rPr>
                <w:rFonts w:ascii="Helvetica" w:eastAsia="Times New Roman" w:hAnsi="Helvetica" w:cs="Helvetica"/>
                <w:b/>
                <w:bCs/>
                <w:color w:val="000000"/>
                <w:sz w:val="21"/>
                <w:szCs w:val="21"/>
                <w:vertAlign w:val="subscript"/>
              </w:rPr>
              <w:t>k,i</w:t>
            </w:r>
          </w:p>
        </w:tc>
      </w:tr>
    </w:tbl>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color w:val="000000"/>
          <w:sz w:val="21"/>
          <w:szCs w:val="21"/>
        </w:rPr>
        <w:t>Xã thuộc vùng đồng bào dân tộc thiểu số được xác định theo Quyết định số 861/QĐ-TTg và các Quyết định sửa đổi, bổ sung (nếu có)”.</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Điều 2.</w:t>
      </w:r>
      <w:r w:rsidRPr="006C3FD8">
        <w:rPr>
          <w:rFonts w:ascii="Helvetica" w:eastAsia="Times New Roman" w:hAnsi="Helvetica" w:cs="Helvetica"/>
          <w:color w:val="000000"/>
          <w:sz w:val="21"/>
          <w:szCs w:val="21"/>
        </w:rPr>
        <w:t> Quyết định này có hiệu lực thi hành kể từ ngày ký ban hành.</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Điều 3.</w:t>
      </w:r>
      <w:r w:rsidRPr="006C3FD8">
        <w:rPr>
          <w:rFonts w:ascii="Helvetica" w:eastAsia="Times New Roman" w:hAnsi="Helvetica" w:cs="Helvetica"/>
          <w:color w:val="000000"/>
          <w:sz w:val="21"/>
          <w:szCs w:val="21"/>
        </w:rPr>
        <w:t> Bộ trưởng, Thủ trưởng cơ quan ngang bộ, Thủ trưởng cơ quan thuộc Chính phủ, các cơ quan liên quan ở trung ương, Chủ tịch Ủy ban nhân dân tỉnh, thành phố trực thuộc trung ương, Thủ trưởng các cơ quan, đơn vị sử dụng vốn ngân sách nhà nước thực hiện Chương trình giai đoạn 2021 - 2025 chịu trách nhiệm thi hành Quyết định này.</w:t>
      </w: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p>
    <w:tbl>
      <w:tblPr>
        <w:tblW w:w="5000" w:type="pct"/>
        <w:tblCellMar>
          <w:left w:w="0" w:type="dxa"/>
          <w:right w:w="0" w:type="dxa"/>
        </w:tblCellMar>
        <w:tblLook w:val="04A0" w:firstRow="1" w:lastRow="0" w:firstColumn="1" w:lastColumn="0" w:noHBand="0" w:noVBand="1"/>
      </w:tblPr>
      <w:tblGrid>
        <w:gridCol w:w="4789"/>
        <w:gridCol w:w="4282"/>
      </w:tblGrid>
      <w:tr w:rsidR="006C3FD8" w:rsidRPr="006C3FD8" w:rsidTr="006C3FD8">
        <w:tc>
          <w:tcPr>
            <w:tcW w:w="4908" w:type="dxa"/>
            <w:tcMar>
              <w:top w:w="0" w:type="dxa"/>
              <w:left w:w="108" w:type="dxa"/>
              <w:bottom w:w="0" w:type="dxa"/>
              <w:right w:w="108" w:type="dxa"/>
            </w:tcMar>
            <w:hideMark/>
          </w:tcPr>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i/>
                <w:iCs/>
                <w:color w:val="000000"/>
                <w:sz w:val="21"/>
                <w:szCs w:val="21"/>
              </w:rPr>
              <w:br/>
              <w:t>Nơi nhận:</w:t>
            </w:r>
            <w:r w:rsidRPr="006C3FD8">
              <w:rPr>
                <w:rFonts w:ascii="Helvetica" w:eastAsia="Times New Roman" w:hAnsi="Helvetica" w:cs="Helvetica"/>
                <w:b/>
                <w:bCs/>
                <w:i/>
                <w:iCs/>
                <w:color w:val="000000"/>
                <w:sz w:val="21"/>
                <w:szCs w:val="21"/>
              </w:rPr>
              <w:br/>
            </w:r>
            <w:r w:rsidRPr="006C3FD8">
              <w:rPr>
                <w:rFonts w:ascii="Helvetica" w:eastAsia="Times New Roman" w:hAnsi="Helvetica" w:cs="Helvetica"/>
                <w:color w:val="000000"/>
                <w:sz w:val="16"/>
                <w:szCs w:val="16"/>
              </w:rPr>
              <w:t>- Ban Bí thư Trung ương Đảng;</w:t>
            </w:r>
            <w:r w:rsidRPr="006C3FD8">
              <w:rPr>
                <w:rFonts w:ascii="Helvetica" w:eastAsia="Times New Roman" w:hAnsi="Helvetica" w:cs="Helvetica"/>
                <w:color w:val="000000"/>
                <w:sz w:val="16"/>
                <w:szCs w:val="16"/>
              </w:rPr>
              <w:br/>
              <w:t>- Thủ tướng, các Phó Thủ tướng Chính phủ;</w:t>
            </w:r>
            <w:r w:rsidRPr="006C3FD8">
              <w:rPr>
                <w:rFonts w:ascii="Helvetica" w:eastAsia="Times New Roman" w:hAnsi="Helvetica" w:cs="Helvetica"/>
                <w:color w:val="000000"/>
                <w:sz w:val="16"/>
                <w:szCs w:val="16"/>
              </w:rPr>
              <w:br/>
              <w:t>- Các bộ, cơ quan ngang bộ, cơ quan thuộc Chính phủ;</w:t>
            </w:r>
            <w:r w:rsidRPr="006C3FD8">
              <w:rPr>
                <w:rFonts w:ascii="Helvetica" w:eastAsia="Times New Roman" w:hAnsi="Helvetica" w:cs="Helvetica"/>
                <w:color w:val="000000"/>
                <w:sz w:val="16"/>
                <w:szCs w:val="16"/>
              </w:rPr>
              <w:br/>
              <w:t>- HĐND, UBND các tỉnh, thành phố trực thuộc trung ương;</w:t>
            </w:r>
            <w:r w:rsidRPr="006C3FD8">
              <w:rPr>
                <w:rFonts w:ascii="Helvetica" w:eastAsia="Times New Roman" w:hAnsi="Helvetica" w:cs="Helvetica"/>
                <w:color w:val="000000"/>
                <w:sz w:val="16"/>
                <w:szCs w:val="16"/>
              </w:rPr>
              <w:br/>
              <w:t>- Văn phòng Trung ương và các Ban của Đảng;</w:t>
            </w:r>
            <w:r w:rsidRPr="006C3FD8">
              <w:rPr>
                <w:rFonts w:ascii="Helvetica" w:eastAsia="Times New Roman" w:hAnsi="Helvetica" w:cs="Helvetica"/>
                <w:color w:val="000000"/>
                <w:sz w:val="16"/>
                <w:szCs w:val="16"/>
              </w:rPr>
              <w:br/>
              <w:t>- Văn phòng Tổng Bí thư;</w:t>
            </w:r>
            <w:r w:rsidRPr="006C3FD8">
              <w:rPr>
                <w:rFonts w:ascii="Helvetica" w:eastAsia="Times New Roman" w:hAnsi="Helvetica" w:cs="Helvetica"/>
                <w:color w:val="000000"/>
                <w:sz w:val="16"/>
                <w:szCs w:val="16"/>
              </w:rPr>
              <w:br/>
              <w:t>- Văn phòng Chủ tịch nước;</w:t>
            </w:r>
            <w:r w:rsidRPr="006C3FD8">
              <w:rPr>
                <w:rFonts w:ascii="Helvetica" w:eastAsia="Times New Roman" w:hAnsi="Helvetica" w:cs="Helvetica"/>
                <w:color w:val="000000"/>
                <w:sz w:val="16"/>
                <w:szCs w:val="16"/>
              </w:rPr>
              <w:br/>
              <w:t>- Hội đồng Dân tộc và các Ủy ban của Quốc hội;</w:t>
            </w:r>
            <w:r w:rsidRPr="006C3FD8">
              <w:rPr>
                <w:rFonts w:ascii="Helvetica" w:eastAsia="Times New Roman" w:hAnsi="Helvetica" w:cs="Helvetica"/>
                <w:color w:val="000000"/>
                <w:sz w:val="16"/>
                <w:szCs w:val="16"/>
              </w:rPr>
              <w:br/>
              <w:t>- Văn phòng Quốc hội;</w:t>
            </w:r>
            <w:r w:rsidRPr="006C3FD8">
              <w:rPr>
                <w:rFonts w:ascii="Helvetica" w:eastAsia="Times New Roman" w:hAnsi="Helvetica" w:cs="Helvetica"/>
                <w:color w:val="000000"/>
                <w:sz w:val="16"/>
                <w:szCs w:val="16"/>
              </w:rPr>
              <w:br/>
              <w:t>- Tòa án nhân dân tối cao;</w:t>
            </w:r>
            <w:r w:rsidRPr="006C3FD8">
              <w:rPr>
                <w:rFonts w:ascii="Helvetica" w:eastAsia="Times New Roman" w:hAnsi="Helvetica" w:cs="Helvetica"/>
                <w:color w:val="000000"/>
                <w:sz w:val="16"/>
                <w:szCs w:val="16"/>
              </w:rPr>
              <w:br/>
              <w:t>- Viện kiểm sát nhân dân tối cao;</w:t>
            </w:r>
            <w:r w:rsidRPr="006C3FD8">
              <w:rPr>
                <w:rFonts w:ascii="Helvetica" w:eastAsia="Times New Roman" w:hAnsi="Helvetica" w:cs="Helvetica"/>
                <w:color w:val="000000"/>
                <w:sz w:val="16"/>
                <w:szCs w:val="16"/>
              </w:rPr>
              <w:br/>
              <w:t>- Kiểm toán nhà nước;</w:t>
            </w:r>
            <w:r w:rsidRPr="006C3FD8">
              <w:rPr>
                <w:rFonts w:ascii="Helvetica" w:eastAsia="Times New Roman" w:hAnsi="Helvetica" w:cs="Helvetica"/>
                <w:color w:val="000000"/>
                <w:sz w:val="16"/>
                <w:szCs w:val="16"/>
              </w:rPr>
              <w:br/>
              <w:t>- Ủy ban Giám sát tài chính Quốc gia;</w:t>
            </w:r>
            <w:r w:rsidRPr="006C3FD8">
              <w:rPr>
                <w:rFonts w:ascii="Helvetica" w:eastAsia="Times New Roman" w:hAnsi="Helvetica" w:cs="Helvetica"/>
                <w:color w:val="000000"/>
                <w:sz w:val="16"/>
                <w:szCs w:val="16"/>
              </w:rPr>
              <w:br/>
              <w:t>- Ngân hàng Chính sách xã hội;</w:t>
            </w:r>
            <w:r w:rsidRPr="006C3FD8">
              <w:rPr>
                <w:rFonts w:ascii="Helvetica" w:eastAsia="Times New Roman" w:hAnsi="Helvetica" w:cs="Helvetica"/>
                <w:color w:val="000000"/>
                <w:sz w:val="16"/>
                <w:szCs w:val="16"/>
              </w:rPr>
              <w:br/>
              <w:t>- Ngân hàng Phát triển Việt Nam;</w:t>
            </w:r>
            <w:r w:rsidRPr="006C3FD8">
              <w:rPr>
                <w:rFonts w:ascii="Helvetica" w:eastAsia="Times New Roman" w:hAnsi="Helvetica" w:cs="Helvetica"/>
                <w:color w:val="000000"/>
                <w:sz w:val="16"/>
                <w:szCs w:val="16"/>
              </w:rPr>
              <w:br/>
              <w:t>- Ủy ban trung ương Mặt trận Tổ quốc Việt Nam;</w:t>
            </w:r>
            <w:r w:rsidRPr="006C3FD8">
              <w:rPr>
                <w:rFonts w:ascii="Helvetica" w:eastAsia="Times New Roman" w:hAnsi="Helvetica" w:cs="Helvetica"/>
                <w:color w:val="000000"/>
                <w:sz w:val="16"/>
                <w:szCs w:val="16"/>
              </w:rPr>
              <w:br/>
              <w:t>- Cơ quan trung ương của các đoàn thể;</w:t>
            </w:r>
            <w:r w:rsidRPr="006C3FD8">
              <w:rPr>
                <w:rFonts w:ascii="Helvetica" w:eastAsia="Times New Roman" w:hAnsi="Helvetica" w:cs="Helvetica"/>
                <w:color w:val="000000"/>
                <w:sz w:val="16"/>
                <w:szCs w:val="16"/>
              </w:rPr>
              <w:br/>
              <w:t>- VPCP: BTCN, các PCN, Trợ lý TTg, TGĐ Cổng TTĐT, các Vụ, Cục, đơn vị trực thuộc, Công báo;</w:t>
            </w:r>
            <w:r w:rsidRPr="006C3FD8">
              <w:rPr>
                <w:rFonts w:ascii="Helvetica" w:eastAsia="Times New Roman" w:hAnsi="Helvetica" w:cs="Helvetica"/>
                <w:color w:val="000000"/>
                <w:sz w:val="16"/>
                <w:szCs w:val="16"/>
              </w:rPr>
              <w:br/>
              <w:t>- Lưu: VT, KTTH (2b).</w:t>
            </w:r>
          </w:p>
        </w:tc>
        <w:tc>
          <w:tcPr>
            <w:tcW w:w="4379" w:type="dxa"/>
            <w:tcMar>
              <w:top w:w="0" w:type="dxa"/>
              <w:left w:w="108" w:type="dxa"/>
              <w:bottom w:w="0" w:type="dxa"/>
              <w:right w:w="108" w:type="dxa"/>
            </w:tcMar>
            <w:hideMark/>
          </w:tcPr>
          <w:p w:rsidR="006C3FD8" w:rsidRPr="006C3FD8" w:rsidRDefault="006C3FD8" w:rsidP="006C3FD8">
            <w:pPr>
              <w:spacing w:before="120" w:after="100" w:afterAutospacing="1" w:line="240" w:lineRule="auto"/>
              <w:jc w:val="center"/>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KT. THỦ TƯỚNG</w:t>
            </w:r>
            <w:r w:rsidRPr="006C3FD8">
              <w:rPr>
                <w:rFonts w:ascii="Helvetica" w:eastAsia="Times New Roman" w:hAnsi="Helvetica" w:cs="Helvetica"/>
                <w:b/>
                <w:bCs/>
                <w:color w:val="000000"/>
                <w:sz w:val="21"/>
                <w:szCs w:val="21"/>
              </w:rPr>
              <w:br/>
              <w:t>PHÓ THỦ TƯỚNG</w:t>
            </w:r>
            <w:r w:rsidRPr="006C3FD8">
              <w:rPr>
                <w:rFonts w:ascii="Helvetica" w:eastAsia="Times New Roman" w:hAnsi="Helvetica" w:cs="Helvetica"/>
                <w:b/>
                <w:bCs/>
                <w:color w:val="000000"/>
                <w:sz w:val="21"/>
                <w:szCs w:val="21"/>
              </w:rPr>
              <w:br/>
            </w:r>
            <w:r w:rsidRPr="006C3FD8">
              <w:rPr>
                <w:rFonts w:ascii="Helvetica" w:eastAsia="Times New Roman" w:hAnsi="Helvetica" w:cs="Helvetica"/>
                <w:b/>
                <w:bCs/>
                <w:color w:val="000000"/>
                <w:sz w:val="21"/>
                <w:szCs w:val="21"/>
              </w:rPr>
              <w:br/>
            </w:r>
            <w:r w:rsidRPr="006C3FD8">
              <w:rPr>
                <w:rFonts w:ascii="Helvetica" w:eastAsia="Times New Roman" w:hAnsi="Helvetica" w:cs="Helvetica"/>
                <w:b/>
                <w:bCs/>
                <w:color w:val="000000"/>
                <w:sz w:val="21"/>
                <w:szCs w:val="21"/>
              </w:rPr>
              <w:br/>
            </w:r>
            <w:r w:rsidRPr="006C3FD8">
              <w:rPr>
                <w:rFonts w:ascii="Helvetica" w:eastAsia="Times New Roman" w:hAnsi="Helvetica" w:cs="Helvetica"/>
                <w:b/>
                <w:bCs/>
                <w:color w:val="000000"/>
                <w:sz w:val="21"/>
                <w:szCs w:val="21"/>
              </w:rPr>
              <w:br/>
            </w:r>
            <w:r w:rsidRPr="006C3FD8">
              <w:rPr>
                <w:rFonts w:ascii="Helvetica" w:eastAsia="Times New Roman" w:hAnsi="Helvetica" w:cs="Helvetica"/>
                <w:b/>
                <w:bCs/>
                <w:color w:val="000000"/>
                <w:sz w:val="21"/>
                <w:szCs w:val="21"/>
              </w:rPr>
              <w:br/>
              <w:t>Trần Lưu Quang</w:t>
            </w:r>
          </w:p>
        </w:tc>
      </w:tr>
    </w:tbl>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p>
    <w:p w:rsidR="006C3FD8" w:rsidRPr="006C3FD8" w:rsidRDefault="006C3FD8" w:rsidP="006C3FD8">
      <w:pPr>
        <w:spacing w:before="120" w:after="100" w:afterAutospacing="1" w:line="240" w:lineRule="auto"/>
        <w:rPr>
          <w:rFonts w:ascii="Helvetica" w:eastAsia="Times New Roman" w:hAnsi="Helvetica" w:cs="Helvetica"/>
          <w:color w:val="000000"/>
          <w:sz w:val="21"/>
          <w:szCs w:val="21"/>
        </w:rPr>
      </w:pPr>
      <w:r w:rsidRPr="006C3FD8">
        <w:rPr>
          <w:rFonts w:ascii="Helvetica" w:eastAsia="Times New Roman" w:hAnsi="Helvetica" w:cs="Helvetica"/>
          <w:b/>
          <w:bCs/>
          <w:color w:val="000000"/>
          <w:sz w:val="21"/>
          <w:szCs w:val="21"/>
        </w:rPr>
        <w:t> </w:t>
      </w:r>
    </w:p>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D8"/>
    <w:rsid w:val="001D0A37"/>
    <w:rsid w:val="004F7CCD"/>
    <w:rsid w:val="006C3FD8"/>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7EC53-9C08-499A-99F5-EFBAEED5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F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C3FD8"/>
    <w:rPr>
      <w:b/>
      <w:bCs/>
    </w:rPr>
  </w:style>
  <w:style w:type="character" w:styleId="Emphasis">
    <w:name w:val="Emphasis"/>
    <w:basedOn w:val="DefaultParagraphFont"/>
    <w:uiPriority w:val="20"/>
    <w:qFormat/>
    <w:rsid w:val="006C3F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2023-07-03T04:42:00Z</dcterms:created>
  <dcterms:modified xsi:type="dcterms:W3CDTF">2023-07-03T04:43:00Z</dcterms:modified>
</cp:coreProperties>
</file>