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EE34F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245C0B" w14:textId="77777777" w:rsidR="00000000" w:rsidRDefault="00000000">
            <w:pPr>
              <w:spacing w:before="120"/>
              <w:jc w:val="center"/>
            </w:pPr>
            <w:r>
              <w:rPr>
                <w:b/>
                <w:bCs/>
              </w:rPr>
              <w:t>ỦY BAN NHÂN DÂN</w:t>
            </w:r>
            <w:r>
              <w:rPr>
                <w:b/>
                <w:bCs/>
              </w:rPr>
              <w:br/>
              <w:t>TỈNH KHÁNH HÒA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EBF3A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EA87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72BA87" w14:textId="77777777" w:rsidR="00000000" w:rsidRDefault="00000000">
            <w:pPr>
              <w:spacing w:before="120"/>
              <w:jc w:val="center"/>
            </w:pPr>
            <w:r>
              <w:rPr>
                <w:lang w:val="vi-VN"/>
              </w:rPr>
              <w:t xml:space="preserve">Số: </w:t>
            </w:r>
            <w:r>
              <w:t>1763/QĐ-UBND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6A9BE0" w14:textId="77777777" w:rsidR="00000000" w:rsidRDefault="00000000">
            <w:pPr>
              <w:spacing w:before="120"/>
              <w:jc w:val="right"/>
            </w:pPr>
            <w:r>
              <w:rPr>
                <w:i/>
                <w:iCs/>
              </w:rPr>
              <w:t>Khánh Hòa</w:t>
            </w:r>
            <w:r>
              <w:rPr>
                <w:i/>
                <w:iCs/>
                <w:lang w:val="vi-VN"/>
              </w:rPr>
              <w:t xml:space="preserve">, ngày </w:t>
            </w:r>
            <w:r>
              <w:rPr>
                <w:i/>
                <w:iCs/>
              </w:rPr>
              <w:t>07</w:t>
            </w:r>
            <w:r>
              <w:rPr>
                <w:i/>
                <w:iCs/>
                <w:lang w:val="vi-VN"/>
              </w:rPr>
              <w:t xml:space="preserve"> tháng </w:t>
            </w:r>
            <w:r>
              <w:rPr>
                <w:i/>
                <w:iCs/>
              </w:rPr>
              <w:t>06</w:t>
            </w:r>
            <w:r>
              <w:rPr>
                <w:i/>
                <w:iCs/>
                <w:lang w:val="vi-VN"/>
              </w:rPr>
              <w:t xml:space="preserve"> năm </w:t>
            </w:r>
            <w:r>
              <w:rPr>
                <w:i/>
                <w:iCs/>
              </w:rPr>
              <w:t>2019</w:t>
            </w:r>
          </w:p>
        </w:tc>
      </w:tr>
    </w:tbl>
    <w:p w14:paraId="026818B1" w14:textId="77777777" w:rsidR="00000000" w:rsidRDefault="00000000">
      <w:pPr>
        <w:spacing w:before="120" w:after="280" w:afterAutospacing="1"/>
      </w:pPr>
      <w:r>
        <w:t> </w:t>
      </w:r>
    </w:p>
    <w:p w14:paraId="6E87FCA3" w14:textId="77777777" w:rsidR="00000000" w:rsidRDefault="00000000">
      <w:pPr>
        <w:spacing w:before="120" w:after="280" w:afterAutospacing="1"/>
        <w:jc w:val="center"/>
      </w:pPr>
      <w:r>
        <w:rPr>
          <w:b/>
          <w:bCs/>
          <w:lang w:val="vi-VN"/>
        </w:rPr>
        <w:t>QUYẾT ĐỊNH</w:t>
      </w:r>
    </w:p>
    <w:p w14:paraId="71F3FE36" w14:textId="77777777" w:rsidR="00000000" w:rsidRDefault="00000000">
      <w:pPr>
        <w:spacing w:before="120" w:after="280" w:afterAutospacing="1"/>
        <w:jc w:val="center"/>
      </w:pPr>
      <w:r>
        <w:rPr>
          <w:lang w:val="vi-VN"/>
        </w:rPr>
        <w:t>VỀ VIỆC PHÊ DUYỆT PHƯƠNG ÁN GIÁ TIÊU THỤ NƯỚC SẠCH TRÊN ĐỊA BÀN THÀNH PHỐ NHA TRANG, HUYỆN DIÊN KHÁNH VÀ MỘT SỐ VÙNG CỦA HUYỆN CAM LÂM DO CÔNG TY CỔ PHẦN CẤP THOÁT NƯỚC KHÁNH HÒA SẢN XUẤT, CUNG ỨNG</w:t>
      </w:r>
    </w:p>
    <w:p w14:paraId="386C5E45" w14:textId="77777777" w:rsidR="00000000" w:rsidRDefault="00000000">
      <w:pPr>
        <w:spacing w:before="120" w:after="280" w:afterAutospacing="1"/>
        <w:jc w:val="center"/>
      </w:pPr>
      <w:r>
        <w:rPr>
          <w:b/>
          <w:bCs/>
          <w:lang w:val="vi-VN"/>
        </w:rPr>
        <w:t>ỦY BAN NHÂN DÂN TỈNH KHÁNH HÒA</w:t>
      </w:r>
    </w:p>
    <w:p w14:paraId="30695243" w14:textId="77777777" w:rsidR="00000000" w:rsidRDefault="00000000">
      <w:pPr>
        <w:spacing w:before="120" w:after="280" w:afterAutospacing="1"/>
      </w:pPr>
      <w:r>
        <w:rPr>
          <w:i/>
          <w:iCs/>
          <w:lang w:val="vi-VN"/>
        </w:rPr>
        <w:t>Căn cứ Luật tổ chức Chính quyền địa phương ngày 19/6/2015;</w:t>
      </w:r>
    </w:p>
    <w:p w14:paraId="53859BF8" w14:textId="77777777" w:rsidR="00000000" w:rsidRDefault="00000000">
      <w:pPr>
        <w:spacing w:before="120" w:after="280" w:afterAutospacing="1"/>
      </w:pPr>
      <w:r>
        <w:rPr>
          <w:i/>
          <w:iCs/>
          <w:lang w:val="vi-VN"/>
        </w:rPr>
        <w:t>Căn cứ N</w:t>
      </w:r>
      <w:r>
        <w:rPr>
          <w:i/>
          <w:iCs/>
        </w:rPr>
        <w:t>g</w:t>
      </w:r>
      <w:r>
        <w:rPr>
          <w:i/>
          <w:iCs/>
          <w:lang w:val="vi-VN"/>
        </w:rPr>
        <w:t>hị định số 117/2007/NĐ-CP ngày 11/7/2007 của Chính phủ về sản xuất, cung c</w:t>
      </w:r>
      <w:r>
        <w:rPr>
          <w:i/>
          <w:iCs/>
        </w:rPr>
        <w:t>ấ</w:t>
      </w:r>
      <w:r>
        <w:rPr>
          <w:i/>
          <w:iCs/>
          <w:lang w:val="vi-VN"/>
        </w:rPr>
        <w:t>p và tiêu thụ nước sạch;</w:t>
      </w:r>
    </w:p>
    <w:p w14:paraId="47BD6BCF" w14:textId="77777777" w:rsidR="00000000" w:rsidRDefault="00000000">
      <w:pPr>
        <w:spacing w:before="120" w:after="280" w:afterAutospacing="1"/>
      </w:pPr>
      <w:r>
        <w:rPr>
          <w:i/>
          <w:iCs/>
          <w:lang w:val="vi-VN"/>
        </w:rPr>
        <w:t>Căn cứ Nghị định số 124/2011/NĐ-CP ngày 28/12/2011 của Chính phủ về sửa đổi, bổ sung một số điều của Nghị định số 117/2007/NĐ-CP ngày 11/7/2007 của Chính phủ về sản xuất, cung cấp và tiêu thụ nước sạch;</w:t>
      </w:r>
    </w:p>
    <w:p w14:paraId="48DDC18F" w14:textId="77777777" w:rsidR="00000000" w:rsidRDefault="00000000">
      <w:pPr>
        <w:spacing w:before="120" w:after="280" w:afterAutospacing="1"/>
      </w:pPr>
      <w:r>
        <w:rPr>
          <w:i/>
          <w:iCs/>
          <w:lang w:val="vi-VN"/>
        </w:rPr>
        <w:t>Căn cứ Thông tư Liên tịch số 75/2012/TTLT-BTC-BXD-BNNPTNT ngày 15/5/2012 của Bộ Tài chính, Bộ Xây dựng và Bộ Nông nghiệp và Phát triển nông thôn hướng dẫn nguyên tắc, phương pháp xác định và thẩm quyền quyết định giá tiêu thụ nước sạch sinh hoạt tại các đô thị, khu công nghiệp và khu vực nông thôn;</w:t>
      </w:r>
    </w:p>
    <w:p w14:paraId="7E577139" w14:textId="77777777" w:rsidR="00000000" w:rsidRDefault="00000000">
      <w:pPr>
        <w:spacing w:before="120" w:after="280" w:afterAutospacing="1"/>
      </w:pPr>
      <w:r>
        <w:rPr>
          <w:i/>
          <w:iCs/>
          <w:lang w:val="vi-VN"/>
        </w:rPr>
        <w:t>Căn cứ Thông tư số 88/2012/TT-BTC ngày 28/5/2012 của Bộ Tài chính về việc ban hành khung giá tiêu thụ nước sạch sinh hoạt;</w:t>
      </w:r>
    </w:p>
    <w:p w14:paraId="7B9F9595" w14:textId="77777777" w:rsidR="00000000" w:rsidRDefault="00000000">
      <w:pPr>
        <w:spacing w:before="120" w:after="280" w:afterAutospacing="1"/>
      </w:pPr>
      <w:r>
        <w:rPr>
          <w:i/>
          <w:iCs/>
          <w:lang w:val="vi-VN"/>
        </w:rPr>
        <w:t>Xét đề n</w:t>
      </w:r>
      <w:r>
        <w:rPr>
          <w:i/>
          <w:iCs/>
        </w:rPr>
        <w:t>g</w:t>
      </w:r>
      <w:r>
        <w:rPr>
          <w:i/>
          <w:iCs/>
          <w:lang w:val="vi-VN"/>
        </w:rPr>
        <w:t>hị của Giám đốc Công ty cổ phần cấp Thoát nước Khánh Hòa tại Công văn s</w:t>
      </w:r>
      <w:r>
        <w:rPr>
          <w:i/>
          <w:iCs/>
        </w:rPr>
        <w:t>ố</w:t>
      </w:r>
      <w:r>
        <w:rPr>
          <w:i/>
          <w:iCs/>
          <w:lang w:val="vi-VN"/>
        </w:rPr>
        <w:t xml:space="preserve"> 143/CTN-TV ngày 07/5/2019, Giám đốc Sở Tài chính tại Tờ trình số 1560/TTr-STC ngày 17/5/2019 và Công văn số 1735/STC-QLG&amp;CS ngày 30/5/2019,</w:t>
      </w:r>
    </w:p>
    <w:p w14:paraId="343A7B54" w14:textId="77777777" w:rsidR="00000000" w:rsidRDefault="00000000">
      <w:pPr>
        <w:spacing w:before="120" w:after="280" w:afterAutospacing="1"/>
        <w:jc w:val="center"/>
      </w:pPr>
      <w:r>
        <w:rPr>
          <w:b/>
          <w:bCs/>
          <w:lang w:val="vi-VN"/>
        </w:rPr>
        <w:t>QUYẾT ĐỊNH:</w:t>
      </w:r>
    </w:p>
    <w:p w14:paraId="429A0548" w14:textId="77777777" w:rsidR="00000000" w:rsidRDefault="00000000">
      <w:pPr>
        <w:spacing w:before="120" w:after="280" w:afterAutospacing="1"/>
      </w:pPr>
      <w:r>
        <w:rPr>
          <w:b/>
          <w:bCs/>
          <w:lang w:val="vi-VN"/>
        </w:rPr>
        <w:t>Điều 1.</w:t>
      </w:r>
      <w:r>
        <w:rPr>
          <w:lang w:val="vi-VN"/>
        </w:rPr>
        <w:t xml:space="preserve"> Phê duyệt Phương án giá tiêu thụ nước sạch trên địa bàn thành phố Nha Trang và một số vùng của huyện Diên Khánh và huyện Cam Lâm do Công ty cổ phần </w:t>
      </w:r>
      <w:r>
        <w:t>C</w:t>
      </w:r>
      <w:r>
        <w:rPr>
          <w:lang w:val="vi-VN"/>
        </w:rPr>
        <w:t>ấp thoát nước Khánh Hòa sản xuất, cung ứng, với một số chỉ tiêu chính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5615"/>
        <w:gridCol w:w="1436"/>
        <w:gridCol w:w="1532"/>
      </w:tblGrid>
      <w:tr w:rsidR="00000000" w14:paraId="34E8DCCF" w14:textId="77777777">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C964BD" w14:textId="77777777" w:rsidR="00000000" w:rsidRDefault="00000000">
            <w:pPr>
              <w:spacing w:before="120"/>
              <w:jc w:val="center"/>
            </w:pPr>
            <w:r>
              <w:rPr>
                <w:b/>
                <w:bCs/>
                <w:lang w:val="vi-VN"/>
              </w:rPr>
              <w:t>S</w:t>
            </w:r>
            <w:r>
              <w:rPr>
                <w:b/>
                <w:bCs/>
              </w:rPr>
              <w:t xml:space="preserve">ố </w:t>
            </w:r>
            <w:r>
              <w:rPr>
                <w:b/>
                <w:bCs/>
                <w:lang w:val="vi-VN"/>
              </w:rPr>
              <w:t>TT</w:t>
            </w:r>
          </w:p>
        </w:tc>
        <w:tc>
          <w:tcPr>
            <w:tcW w:w="3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2A6860" w14:textId="77777777" w:rsidR="00000000" w:rsidRDefault="00000000">
            <w:pPr>
              <w:spacing w:before="120"/>
              <w:jc w:val="center"/>
            </w:pPr>
            <w:r>
              <w:rPr>
                <w:b/>
                <w:bCs/>
                <w:lang w:val="vi-VN"/>
              </w:rPr>
              <w:t>Nội dung</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F2E9D1" w14:textId="77777777" w:rsidR="00000000" w:rsidRDefault="00000000">
            <w:pPr>
              <w:spacing w:before="120"/>
              <w:jc w:val="center"/>
            </w:pPr>
            <w:r>
              <w:rPr>
                <w:b/>
                <w:bCs/>
                <w:lang w:val="vi-VN"/>
              </w:rPr>
              <w:t>Đơn vị tính</w:t>
            </w:r>
          </w:p>
        </w:tc>
        <w:tc>
          <w:tcPr>
            <w:tcW w:w="8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00C095" w14:textId="77777777" w:rsidR="00000000" w:rsidRDefault="00000000">
            <w:pPr>
              <w:spacing w:before="120"/>
              <w:jc w:val="center"/>
            </w:pPr>
            <w:r>
              <w:rPr>
                <w:b/>
                <w:bCs/>
                <w:lang w:val="vi-VN"/>
              </w:rPr>
              <w:t>Chỉ tiêu</w:t>
            </w:r>
          </w:p>
        </w:tc>
      </w:tr>
      <w:tr w:rsidR="00000000" w14:paraId="5AD88A06"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6BD261" w14:textId="77777777" w:rsidR="00000000" w:rsidRDefault="00000000">
            <w:pPr>
              <w:spacing w:before="120"/>
              <w:jc w:val="center"/>
            </w:pPr>
            <w:r>
              <w:rPr>
                <w:lang w:val="vi-VN"/>
              </w:rPr>
              <w:lastRenderedPageBreak/>
              <w:t>1</w:t>
            </w:r>
          </w:p>
        </w:tc>
        <w:tc>
          <w:tcPr>
            <w:tcW w:w="3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72C3A2" w14:textId="77777777" w:rsidR="00000000" w:rsidRDefault="00000000">
            <w:pPr>
              <w:spacing w:before="120"/>
            </w:pPr>
            <w:r>
              <w:rPr>
                <w:lang w:val="vi-VN"/>
              </w:rPr>
              <w:t>Sản lượng nước sản xuất tại Công ty (Tỷ lệ nước hao hụt 18,8%)</w:t>
            </w:r>
          </w:p>
        </w:tc>
        <w:tc>
          <w:tcPr>
            <w:tcW w:w="7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C7E303" w14:textId="77777777" w:rsidR="00000000" w:rsidRDefault="00000000">
            <w:pPr>
              <w:spacing w:before="120"/>
              <w:jc w:val="center"/>
            </w:pPr>
            <w:r>
              <w:rPr>
                <w:lang w:val="vi-VN"/>
              </w:rPr>
              <w:t>m</w:t>
            </w:r>
            <w:r>
              <w:rPr>
                <w:vertAlign w:val="superscript"/>
                <w:lang w:val="vi-VN"/>
              </w:rPr>
              <w:t>3</w:t>
            </w:r>
          </w:p>
        </w:tc>
        <w:tc>
          <w:tcPr>
            <w:tcW w:w="8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5CB6AB" w14:textId="77777777" w:rsidR="00000000" w:rsidRDefault="00000000">
            <w:pPr>
              <w:spacing w:before="120"/>
              <w:jc w:val="right"/>
            </w:pPr>
            <w:r>
              <w:rPr>
                <w:lang w:val="vi-VN"/>
              </w:rPr>
              <w:t>46.782.000</w:t>
            </w:r>
          </w:p>
        </w:tc>
      </w:tr>
      <w:tr w:rsidR="00000000" w14:paraId="2C60AF26" w14:textId="77777777">
        <w:tblPrEx>
          <w:tblBorders>
            <w:top w:val="none" w:sz="0" w:space="0" w:color="auto"/>
            <w:bottom w:val="none" w:sz="0" w:space="0" w:color="auto"/>
            <w:insideH w:val="none" w:sz="0" w:space="0" w:color="auto"/>
            <w:insideV w:val="none" w:sz="0" w:space="0" w:color="auto"/>
          </w:tblBorders>
        </w:tblPrEx>
        <w:tc>
          <w:tcPr>
            <w:tcW w:w="4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33E218" w14:textId="77777777" w:rsidR="00000000" w:rsidRDefault="00000000">
            <w:pPr>
              <w:spacing w:before="120"/>
              <w:jc w:val="center"/>
            </w:pPr>
            <w:r>
              <w:rPr>
                <w:lang w:val="vi-VN"/>
              </w:rPr>
              <w:t>2</w:t>
            </w:r>
          </w:p>
        </w:tc>
        <w:tc>
          <w:tcPr>
            <w:tcW w:w="30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758B5C" w14:textId="77777777" w:rsidR="00000000" w:rsidRDefault="00000000">
            <w:pPr>
              <w:spacing w:before="120"/>
            </w:pPr>
            <w:r>
              <w:rPr>
                <w:lang w:val="vi-VN"/>
              </w:rPr>
              <w:t>Sản lượng nước sản xuất mua của Công ty cổ phần Đầu tư xây dựng cấp thoát nước Suối Dầu (Tỷ lệ nước hao hụt trên mạng 14,2%)</w:t>
            </w:r>
          </w:p>
        </w:tc>
        <w:tc>
          <w:tcPr>
            <w:tcW w:w="7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701DB1" w14:textId="77777777" w:rsidR="00000000" w:rsidRDefault="00000000">
            <w:pPr>
              <w:spacing w:before="120"/>
              <w:jc w:val="center"/>
            </w:pPr>
            <w:r>
              <w:rPr>
                <w:lang w:val="vi-VN"/>
              </w:rPr>
              <w:t>m</w:t>
            </w:r>
            <w:r>
              <w:rPr>
                <w:vertAlign w:val="superscript"/>
                <w:lang w:val="vi-VN"/>
              </w:rPr>
              <w:t>3</w:t>
            </w:r>
          </w:p>
        </w:tc>
        <w:tc>
          <w:tcPr>
            <w:tcW w:w="8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FDDE7" w14:textId="77777777" w:rsidR="00000000" w:rsidRDefault="00000000">
            <w:pPr>
              <w:spacing w:before="120"/>
              <w:jc w:val="right"/>
            </w:pPr>
            <w:r>
              <w:rPr>
                <w:lang w:val="vi-VN"/>
              </w:rPr>
              <w:t>4.653.000</w:t>
            </w:r>
          </w:p>
        </w:tc>
      </w:tr>
      <w:tr w:rsidR="00000000" w14:paraId="507C557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2C228B" w14:textId="77777777" w:rsidR="00000000" w:rsidRDefault="00000000">
            <w:pPr>
              <w:spacing w:before="120"/>
              <w:jc w:val="center"/>
            </w:pPr>
            <w:r>
              <w:rPr>
                <w:lang w:val="vi-VN"/>
              </w:rPr>
              <w:t>4</w:t>
            </w:r>
          </w:p>
        </w:tc>
        <w:tc>
          <w:tcPr>
            <w:tcW w:w="30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C35EAE3" w14:textId="77777777" w:rsidR="00000000" w:rsidRDefault="00000000">
            <w:pPr>
              <w:spacing w:before="120"/>
            </w:pPr>
            <w:r>
              <w:rPr>
                <w:lang w:val="vi-VN"/>
              </w:rPr>
              <w:t>Sản lượng nước thương phẩm</w:t>
            </w:r>
          </w:p>
        </w:tc>
        <w:tc>
          <w:tcPr>
            <w:tcW w:w="7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80EFBD" w14:textId="77777777" w:rsidR="00000000" w:rsidRDefault="00000000">
            <w:pPr>
              <w:spacing w:before="120"/>
              <w:jc w:val="center"/>
            </w:pPr>
            <w:r>
              <w:rPr>
                <w:lang w:val="vi-VN"/>
              </w:rPr>
              <w:t>m</w:t>
            </w:r>
            <w:r>
              <w:rPr>
                <w:vertAlign w:val="superscript"/>
              </w:rPr>
              <w:t>3</w:t>
            </w:r>
          </w:p>
        </w:tc>
        <w:tc>
          <w:tcPr>
            <w:tcW w:w="8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A0771" w14:textId="77777777" w:rsidR="00000000" w:rsidRDefault="00000000">
            <w:pPr>
              <w:spacing w:before="120"/>
              <w:jc w:val="right"/>
            </w:pPr>
            <w:r>
              <w:rPr>
                <w:lang w:val="vi-VN"/>
              </w:rPr>
              <w:t>41.979.258</w:t>
            </w:r>
          </w:p>
        </w:tc>
      </w:tr>
      <w:tr w:rsidR="00000000" w14:paraId="076C8C1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E780C9" w14:textId="77777777" w:rsidR="00000000" w:rsidRDefault="00000000">
            <w:pPr>
              <w:spacing w:before="120"/>
              <w:jc w:val="center"/>
            </w:pPr>
            <w:r>
              <w:rPr>
                <w:lang w:val="vi-VN"/>
              </w:rPr>
              <w:t>5</w:t>
            </w:r>
          </w:p>
        </w:tc>
        <w:tc>
          <w:tcPr>
            <w:tcW w:w="30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8446E97" w14:textId="77777777" w:rsidR="00000000" w:rsidRDefault="00000000">
            <w:pPr>
              <w:spacing w:before="120"/>
            </w:pPr>
            <w:r>
              <w:rPr>
                <w:lang w:val="vi-VN"/>
              </w:rPr>
              <w:t>Giá thành toàn bộ 1 m</w:t>
            </w:r>
            <w:r>
              <w:rPr>
                <w:vertAlign w:val="superscript"/>
                <w:lang w:val="vi-VN"/>
              </w:rPr>
              <w:t>3</w:t>
            </w:r>
            <w:r>
              <w:rPr>
                <w:lang w:val="vi-VN"/>
              </w:rPr>
              <w:t xml:space="preserve"> nước sạch</w:t>
            </w:r>
          </w:p>
        </w:tc>
        <w:tc>
          <w:tcPr>
            <w:tcW w:w="7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539350" w14:textId="77777777" w:rsidR="00000000" w:rsidRDefault="00000000">
            <w:pPr>
              <w:spacing w:before="120"/>
              <w:jc w:val="center"/>
            </w:pPr>
            <w:r>
              <w:rPr>
                <w:lang w:val="vi-VN"/>
              </w:rPr>
              <w:t>Đ</w:t>
            </w:r>
            <w:r>
              <w:t>ồ</w:t>
            </w:r>
            <w:r>
              <w:rPr>
                <w:lang w:val="vi-VN"/>
              </w:rPr>
              <w:t>ng/m</w:t>
            </w:r>
            <w:r>
              <w:rPr>
                <w:vertAlign w:val="superscript"/>
                <w:lang w:val="vi-VN"/>
              </w:rPr>
              <w:t>3</w:t>
            </w:r>
          </w:p>
        </w:tc>
        <w:tc>
          <w:tcPr>
            <w:tcW w:w="8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73297" w14:textId="77777777" w:rsidR="00000000" w:rsidRDefault="00000000">
            <w:pPr>
              <w:spacing w:before="120"/>
              <w:jc w:val="right"/>
            </w:pPr>
            <w:r>
              <w:rPr>
                <w:lang w:val="vi-VN"/>
              </w:rPr>
              <w:t>7.225</w:t>
            </w:r>
          </w:p>
        </w:tc>
      </w:tr>
      <w:tr w:rsidR="00000000" w14:paraId="65D96C7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483CC1" w14:textId="77777777" w:rsidR="00000000" w:rsidRDefault="00000000">
            <w:pPr>
              <w:spacing w:before="120"/>
              <w:jc w:val="center"/>
            </w:pPr>
            <w:r>
              <w:rPr>
                <w:lang w:val="vi-VN"/>
              </w:rPr>
              <w:t>7</w:t>
            </w:r>
          </w:p>
        </w:tc>
        <w:tc>
          <w:tcPr>
            <w:tcW w:w="30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04F9A7E" w14:textId="77777777" w:rsidR="00000000" w:rsidRDefault="00000000">
            <w:pPr>
              <w:spacing w:before="120"/>
            </w:pPr>
            <w:r>
              <w:rPr>
                <w:lang w:val="vi-VN"/>
              </w:rPr>
              <w:t>Lợi nhuận định mức (5% giá thành toàn bộ)</w:t>
            </w:r>
          </w:p>
        </w:tc>
        <w:tc>
          <w:tcPr>
            <w:tcW w:w="7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E6C092" w14:textId="77777777" w:rsidR="00000000" w:rsidRDefault="00000000">
            <w:pPr>
              <w:spacing w:before="120"/>
              <w:jc w:val="center"/>
            </w:pPr>
            <w:r>
              <w:rPr>
                <w:lang w:val="vi-VN"/>
              </w:rPr>
              <w:t>Đ</w:t>
            </w:r>
            <w:r>
              <w:t>ồ</w:t>
            </w:r>
            <w:r>
              <w:rPr>
                <w:lang w:val="vi-VN"/>
              </w:rPr>
              <w:t>ng/m</w:t>
            </w:r>
            <w:r>
              <w:rPr>
                <w:vertAlign w:val="superscript"/>
                <w:lang w:val="vi-VN"/>
              </w:rPr>
              <w:t>3</w:t>
            </w:r>
          </w:p>
        </w:tc>
        <w:tc>
          <w:tcPr>
            <w:tcW w:w="8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7670FE" w14:textId="77777777" w:rsidR="00000000" w:rsidRDefault="00000000">
            <w:pPr>
              <w:spacing w:before="120"/>
              <w:jc w:val="right"/>
            </w:pPr>
            <w:r>
              <w:rPr>
                <w:lang w:val="vi-VN"/>
              </w:rPr>
              <w:t>361</w:t>
            </w:r>
          </w:p>
        </w:tc>
      </w:tr>
      <w:tr w:rsidR="00000000" w14:paraId="566DC3D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238AF7" w14:textId="77777777" w:rsidR="00000000" w:rsidRDefault="00000000">
            <w:pPr>
              <w:spacing w:before="120"/>
              <w:jc w:val="center"/>
            </w:pPr>
            <w:r>
              <w:rPr>
                <w:lang w:val="vi-VN"/>
              </w:rPr>
              <w:t>6</w:t>
            </w:r>
          </w:p>
        </w:tc>
        <w:tc>
          <w:tcPr>
            <w:tcW w:w="30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B970F3B" w14:textId="77777777" w:rsidR="00000000" w:rsidRDefault="00000000">
            <w:pPr>
              <w:spacing w:before="120"/>
            </w:pPr>
            <w:r>
              <w:rPr>
                <w:lang w:val="vi-VN"/>
              </w:rPr>
              <w:t>Giá tiêu thụ bình quân chưa gồm thuế giá trị gia tăng</w:t>
            </w:r>
          </w:p>
        </w:tc>
        <w:tc>
          <w:tcPr>
            <w:tcW w:w="7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301AAE" w14:textId="77777777" w:rsidR="00000000" w:rsidRDefault="00000000">
            <w:pPr>
              <w:spacing w:before="120"/>
              <w:jc w:val="center"/>
            </w:pPr>
            <w:r>
              <w:rPr>
                <w:lang w:val="vi-VN"/>
              </w:rPr>
              <w:t>Đ</w:t>
            </w:r>
            <w:r>
              <w:t>ồ</w:t>
            </w:r>
            <w:r>
              <w:rPr>
                <w:lang w:val="vi-VN"/>
              </w:rPr>
              <w:t>ng/m</w:t>
            </w:r>
            <w:r>
              <w:rPr>
                <w:vertAlign w:val="superscript"/>
                <w:lang w:val="vi-VN"/>
              </w:rPr>
              <w:t>3</w:t>
            </w:r>
          </w:p>
        </w:tc>
        <w:tc>
          <w:tcPr>
            <w:tcW w:w="8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7C73A8" w14:textId="77777777" w:rsidR="00000000" w:rsidRDefault="00000000">
            <w:pPr>
              <w:spacing w:before="120"/>
              <w:jc w:val="right"/>
            </w:pPr>
            <w:r>
              <w:rPr>
                <w:lang w:val="vi-VN"/>
              </w:rPr>
              <w:t>7.586</w:t>
            </w:r>
          </w:p>
        </w:tc>
      </w:tr>
      <w:tr w:rsidR="00000000" w14:paraId="2B440AB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FE8703" w14:textId="77777777" w:rsidR="00000000" w:rsidRDefault="00000000">
            <w:pPr>
              <w:spacing w:before="120"/>
              <w:jc w:val="center"/>
            </w:pPr>
            <w:r>
              <w:rPr>
                <w:lang w:val="vi-VN"/>
              </w:rPr>
              <w:t>7</w:t>
            </w:r>
          </w:p>
        </w:tc>
        <w:tc>
          <w:tcPr>
            <w:tcW w:w="30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E8E669C" w14:textId="77777777" w:rsidR="00000000" w:rsidRDefault="00000000">
            <w:pPr>
              <w:spacing w:before="120"/>
            </w:pPr>
            <w:r>
              <w:rPr>
                <w:lang w:val="vi-VN"/>
              </w:rPr>
              <w:t>Thuế giá t</w:t>
            </w:r>
            <w:r>
              <w:t>rị</w:t>
            </w:r>
            <w:r>
              <w:rPr>
                <w:lang w:val="vi-VN"/>
              </w:rPr>
              <w:t xml:space="preserve"> gia tăng (5%)</w:t>
            </w:r>
          </w:p>
        </w:tc>
        <w:tc>
          <w:tcPr>
            <w:tcW w:w="7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037DC9" w14:textId="77777777" w:rsidR="00000000" w:rsidRDefault="00000000">
            <w:pPr>
              <w:spacing w:before="120"/>
              <w:jc w:val="center"/>
            </w:pPr>
            <w:r>
              <w:rPr>
                <w:lang w:val="vi-VN"/>
              </w:rPr>
              <w:t>Đ</w:t>
            </w:r>
            <w:r>
              <w:t>ồ</w:t>
            </w:r>
            <w:r>
              <w:rPr>
                <w:lang w:val="vi-VN"/>
              </w:rPr>
              <w:t>ng/m</w:t>
            </w:r>
            <w:r>
              <w:rPr>
                <w:vertAlign w:val="superscript"/>
                <w:lang w:val="vi-VN"/>
              </w:rPr>
              <w:t>3</w:t>
            </w:r>
          </w:p>
        </w:tc>
        <w:tc>
          <w:tcPr>
            <w:tcW w:w="8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D5F75" w14:textId="77777777" w:rsidR="00000000" w:rsidRDefault="00000000">
            <w:pPr>
              <w:spacing w:before="120"/>
              <w:jc w:val="right"/>
            </w:pPr>
            <w:r>
              <w:rPr>
                <w:lang w:val="vi-VN"/>
              </w:rPr>
              <w:t>379</w:t>
            </w:r>
          </w:p>
        </w:tc>
      </w:tr>
      <w:tr w:rsidR="00000000" w14:paraId="0A96D44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5C9241" w14:textId="77777777" w:rsidR="00000000" w:rsidRDefault="00000000">
            <w:pPr>
              <w:spacing w:before="120"/>
              <w:jc w:val="center"/>
            </w:pPr>
            <w:r>
              <w:rPr>
                <w:lang w:val="vi-VN"/>
              </w:rPr>
              <w:t>8</w:t>
            </w:r>
          </w:p>
        </w:tc>
        <w:tc>
          <w:tcPr>
            <w:tcW w:w="30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63BE27" w14:textId="77777777" w:rsidR="00000000" w:rsidRDefault="00000000">
            <w:pPr>
              <w:spacing w:before="120"/>
            </w:pPr>
            <w:r>
              <w:rPr>
                <w:lang w:val="vi-VN"/>
              </w:rPr>
              <w:t>Giá tiêu thụ bình quân đã bao gồm thuế giá trị gia tăng</w:t>
            </w:r>
          </w:p>
        </w:tc>
        <w:tc>
          <w:tcPr>
            <w:tcW w:w="7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829F6F" w14:textId="77777777" w:rsidR="00000000" w:rsidRDefault="00000000">
            <w:pPr>
              <w:spacing w:before="120"/>
              <w:jc w:val="center"/>
            </w:pPr>
            <w:r>
              <w:rPr>
                <w:lang w:val="vi-VN"/>
              </w:rPr>
              <w:t>Đ</w:t>
            </w:r>
            <w:r>
              <w:t>ồ</w:t>
            </w:r>
            <w:r>
              <w:rPr>
                <w:lang w:val="vi-VN"/>
              </w:rPr>
              <w:t>ng/m</w:t>
            </w:r>
            <w:r>
              <w:rPr>
                <w:vertAlign w:val="superscript"/>
                <w:lang w:val="vi-VN"/>
              </w:rPr>
              <w:t>3</w:t>
            </w:r>
          </w:p>
        </w:tc>
        <w:tc>
          <w:tcPr>
            <w:tcW w:w="8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2B20D1" w14:textId="77777777" w:rsidR="00000000" w:rsidRDefault="00000000">
            <w:pPr>
              <w:spacing w:before="120"/>
              <w:jc w:val="right"/>
            </w:pPr>
            <w:r>
              <w:rPr>
                <w:lang w:val="vi-VN"/>
              </w:rPr>
              <w:t>7.965</w:t>
            </w:r>
          </w:p>
        </w:tc>
      </w:tr>
    </w:tbl>
    <w:p w14:paraId="575BA121" w14:textId="77777777" w:rsidR="00000000" w:rsidRDefault="00000000">
      <w:pPr>
        <w:spacing w:before="120" w:after="280" w:afterAutospacing="1"/>
      </w:pPr>
      <w:r>
        <w:rPr>
          <w:lang w:val="vi-VN"/>
        </w:rPr>
        <w:t xml:space="preserve">Tỷ lệ nước hao hụt: 18,8% </w:t>
      </w:r>
      <w:r>
        <w:rPr>
          <w:i/>
          <w:iCs/>
          <w:lang w:val="vi-VN"/>
        </w:rPr>
        <w:t>(Mười tám phẩy tám phần trăm).</w:t>
      </w:r>
      <w:r>
        <w:rPr>
          <w:lang w:val="vi-VN"/>
        </w:rPr>
        <w:t xml:space="preserve"> Trường hợp Công ty cổ phần cấp thoát nước Khánh Hòa quản lý, phấn đấu giảm tỷ lệ nước hao hụt thực tế so với mức hao hụt nước được phê duyệt tại số thứ tự 1 Điều 1 Quyết định này sẽ được sử dụng 100% số tiền thu được do giảm tỷ lệ nước hao hụt để bổ sung 70% vào Quỹ đầu tư phát triển và nguồn vốn xây dựng cơ bản, 30% còn lại được bổ sung cho Quỹ khen thưởng, phúc lợi của đơn vị.</w:t>
      </w:r>
    </w:p>
    <w:p w14:paraId="7141654C" w14:textId="77777777" w:rsidR="00000000" w:rsidRDefault="00000000">
      <w:pPr>
        <w:spacing w:before="120" w:after="280" w:afterAutospacing="1"/>
      </w:pPr>
      <w:r>
        <w:rPr>
          <w:b/>
          <w:bCs/>
          <w:lang w:val="vi-VN"/>
        </w:rPr>
        <w:t>Điều 2.</w:t>
      </w:r>
      <w:r>
        <w:rPr>
          <w:lang w:val="vi-VN"/>
        </w:rPr>
        <w:t xml:space="preserve"> Giá tiêu thụ nước sạch sinh hoạt trên địa bàn thành phố Nha Trang và một số vùng của huyện Diên Khánh và huyện Cam Lâm do Công ty cổ phần Cấp thoát nước Khánh Hòa cung ứng, áp dụng theo cơ ch</w:t>
      </w:r>
      <w:r>
        <w:t xml:space="preserve">ế </w:t>
      </w:r>
      <w:r>
        <w:rPr>
          <w:lang w:val="vi-VN"/>
        </w:rPr>
        <w:t>giá lũy ti</w:t>
      </w:r>
      <w:r>
        <w:t>ế</w:t>
      </w:r>
      <w:r>
        <w:rPr>
          <w:lang w:val="vi-VN"/>
        </w:rPr>
        <w:t>n. Lượng nước sạch sử dụng trong một tháng tính theo hộ gia đình, với 4 mức và theo biểu giá quy định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1"/>
        <w:gridCol w:w="3359"/>
      </w:tblGrid>
      <w:tr w:rsidR="00000000" w14:paraId="6962149B" w14:textId="77777777">
        <w:tc>
          <w:tcPr>
            <w:tcW w:w="3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4D80D8A" w14:textId="77777777" w:rsidR="00000000" w:rsidRDefault="00000000">
            <w:pPr>
              <w:spacing w:before="120"/>
            </w:pPr>
            <w:r>
              <w:rPr>
                <w:b/>
                <w:bCs/>
                <w:lang w:val="vi-VN"/>
              </w:rPr>
              <w:t>Các mức sử dụng nước sạch sinh hoạt</w:t>
            </w:r>
          </w:p>
        </w:tc>
        <w:tc>
          <w:tcPr>
            <w:tcW w:w="17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8C6DEE" w14:textId="77777777" w:rsidR="00000000" w:rsidRDefault="00000000">
            <w:pPr>
              <w:spacing w:before="120"/>
              <w:jc w:val="center"/>
            </w:pPr>
            <w:r>
              <w:rPr>
                <w:b/>
                <w:bCs/>
                <w:lang w:val="vi-VN"/>
              </w:rPr>
              <w:t>Đơn giá (đ</w:t>
            </w:r>
            <w:r>
              <w:rPr>
                <w:b/>
                <w:bCs/>
              </w:rPr>
              <w:t>ồ</w:t>
            </w:r>
            <w:r>
              <w:rPr>
                <w:b/>
                <w:bCs/>
                <w:lang w:val="vi-VN"/>
              </w:rPr>
              <w:t>ng/m</w:t>
            </w:r>
            <w:r>
              <w:rPr>
                <w:b/>
                <w:bCs/>
                <w:vertAlign w:val="superscript"/>
                <w:lang w:val="vi-VN"/>
              </w:rPr>
              <w:t>3</w:t>
            </w:r>
            <w:r>
              <w:rPr>
                <w:b/>
                <w:bCs/>
                <w:lang w:val="vi-VN"/>
              </w:rPr>
              <w:t>)</w:t>
            </w:r>
          </w:p>
        </w:tc>
      </w:tr>
      <w:tr w:rsidR="00000000" w14:paraId="4FDE9EA8" w14:textId="77777777">
        <w:tblPrEx>
          <w:tblBorders>
            <w:top w:val="none" w:sz="0" w:space="0" w:color="auto"/>
            <w:bottom w:val="none" w:sz="0" w:space="0" w:color="auto"/>
            <w:insideH w:val="none" w:sz="0" w:space="0" w:color="auto"/>
            <w:insideV w:val="none" w:sz="0" w:space="0" w:color="auto"/>
          </w:tblBorders>
        </w:tblPrEx>
        <w:tc>
          <w:tcPr>
            <w:tcW w:w="3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BD73A5" w14:textId="77777777" w:rsidR="00000000" w:rsidRDefault="00000000">
            <w:pPr>
              <w:spacing w:before="120"/>
            </w:pPr>
            <w:r>
              <w:rPr>
                <w:lang w:val="vi-VN"/>
              </w:rPr>
              <w:t>Sinh hoạt 1: Từ 01 đến 10m</w:t>
            </w:r>
            <w:r>
              <w:rPr>
                <w:vertAlign w:val="superscript"/>
                <w:lang w:val="vi-VN"/>
              </w:rPr>
              <w:t>3</w:t>
            </w:r>
            <w:r>
              <w:rPr>
                <w:lang w:val="vi-VN"/>
              </w:rPr>
              <w:t xml:space="preserve"> đầu tiên/hộ/tháng</w:t>
            </w:r>
          </w:p>
        </w:tc>
        <w:tc>
          <w:tcPr>
            <w:tcW w:w="17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0A6C03" w14:textId="77777777" w:rsidR="00000000" w:rsidRDefault="00000000">
            <w:pPr>
              <w:spacing w:before="120"/>
              <w:jc w:val="center"/>
            </w:pPr>
            <w:r>
              <w:rPr>
                <w:lang w:val="vi-VN"/>
              </w:rPr>
              <w:t>5.040</w:t>
            </w:r>
          </w:p>
        </w:tc>
      </w:tr>
      <w:tr w:rsidR="00000000" w14:paraId="011CB30E" w14:textId="77777777">
        <w:tblPrEx>
          <w:tblBorders>
            <w:top w:val="none" w:sz="0" w:space="0" w:color="auto"/>
            <w:bottom w:val="none" w:sz="0" w:space="0" w:color="auto"/>
            <w:insideH w:val="none" w:sz="0" w:space="0" w:color="auto"/>
            <w:insideV w:val="none" w:sz="0" w:space="0" w:color="auto"/>
          </w:tblBorders>
        </w:tblPrEx>
        <w:tc>
          <w:tcPr>
            <w:tcW w:w="3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797EA1" w14:textId="77777777" w:rsidR="00000000" w:rsidRDefault="00000000">
            <w:pPr>
              <w:spacing w:before="120"/>
            </w:pPr>
            <w:r>
              <w:rPr>
                <w:lang w:val="vi-VN"/>
              </w:rPr>
              <w:t>Sinh hoạt 2: Trên 10m</w:t>
            </w:r>
            <w:r>
              <w:rPr>
                <w:vertAlign w:val="superscript"/>
                <w:lang w:val="vi-VN"/>
              </w:rPr>
              <w:t>3</w:t>
            </w:r>
            <w:r>
              <w:rPr>
                <w:lang w:val="vi-VN"/>
              </w:rPr>
              <w:t xml:space="preserve"> - 20m</w:t>
            </w:r>
            <w:r>
              <w:rPr>
                <w:vertAlign w:val="superscript"/>
                <w:lang w:val="vi-VN"/>
              </w:rPr>
              <w:t>3</w:t>
            </w:r>
            <w:r>
              <w:rPr>
                <w:lang w:val="vi-VN"/>
              </w:rPr>
              <w:t>/hộ/tháng</w:t>
            </w:r>
          </w:p>
        </w:tc>
        <w:tc>
          <w:tcPr>
            <w:tcW w:w="17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FBBA09" w14:textId="77777777" w:rsidR="00000000" w:rsidRDefault="00000000">
            <w:pPr>
              <w:spacing w:before="120"/>
              <w:jc w:val="center"/>
            </w:pPr>
            <w:r>
              <w:rPr>
                <w:lang w:val="vi-VN"/>
              </w:rPr>
              <w:t>6.930</w:t>
            </w:r>
          </w:p>
        </w:tc>
      </w:tr>
      <w:tr w:rsidR="00000000" w14:paraId="00F77FC0" w14:textId="77777777">
        <w:tblPrEx>
          <w:tblBorders>
            <w:top w:val="none" w:sz="0" w:space="0" w:color="auto"/>
            <w:bottom w:val="none" w:sz="0" w:space="0" w:color="auto"/>
            <w:insideH w:val="none" w:sz="0" w:space="0" w:color="auto"/>
            <w:insideV w:val="none" w:sz="0" w:space="0" w:color="auto"/>
          </w:tblBorders>
        </w:tblPrEx>
        <w:tc>
          <w:tcPr>
            <w:tcW w:w="32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0DD403" w14:textId="77777777" w:rsidR="00000000" w:rsidRDefault="00000000">
            <w:pPr>
              <w:spacing w:before="120"/>
            </w:pPr>
            <w:r>
              <w:rPr>
                <w:lang w:val="vi-VN"/>
              </w:rPr>
              <w:t>Sinh hoạt 3: Trên 20m</w:t>
            </w:r>
            <w:r>
              <w:rPr>
                <w:vertAlign w:val="superscript"/>
                <w:lang w:val="vi-VN"/>
              </w:rPr>
              <w:t>3</w:t>
            </w:r>
            <w:r>
              <w:rPr>
                <w:lang w:val="vi-VN"/>
              </w:rPr>
              <w:t xml:space="preserve"> - 30m</w:t>
            </w:r>
            <w:r>
              <w:rPr>
                <w:vertAlign w:val="superscript"/>
                <w:lang w:val="vi-VN"/>
              </w:rPr>
              <w:t>3</w:t>
            </w:r>
            <w:r>
              <w:rPr>
                <w:lang w:val="vi-VN"/>
              </w:rPr>
              <w:t>/hộ/tháng</w:t>
            </w:r>
          </w:p>
        </w:tc>
        <w:tc>
          <w:tcPr>
            <w:tcW w:w="179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8B4C36" w14:textId="77777777" w:rsidR="00000000" w:rsidRDefault="00000000">
            <w:pPr>
              <w:spacing w:before="120"/>
              <w:jc w:val="center"/>
            </w:pPr>
            <w:r>
              <w:rPr>
                <w:lang w:val="vi-VN"/>
              </w:rPr>
              <w:t>7.770</w:t>
            </w:r>
          </w:p>
        </w:tc>
      </w:tr>
      <w:tr w:rsidR="00000000" w14:paraId="79681D47" w14:textId="77777777">
        <w:tblPrEx>
          <w:tblBorders>
            <w:top w:val="none" w:sz="0" w:space="0" w:color="auto"/>
            <w:bottom w:val="none" w:sz="0" w:space="0" w:color="auto"/>
            <w:insideH w:val="none" w:sz="0" w:space="0" w:color="auto"/>
            <w:insideV w:val="none" w:sz="0" w:space="0" w:color="auto"/>
          </w:tblBorders>
        </w:tblPrEx>
        <w:tc>
          <w:tcPr>
            <w:tcW w:w="32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EC8AD8" w14:textId="77777777" w:rsidR="00000000" w:rsidRDefault="00000000">
            <w:pPr>
              <w:spacing w:before="120"/>
            </w:pPr>
            <w:r>
              <w:rPr>
                <w:lang w:val="vi-VN"/>
              </w:rPr>
              <w:t>Sinh hoạt 4: Trên 30m</w:t>
            </w:r>
            <w:r>
              <w:rPr>
                <w:vertAlign w:val="superscript"/>
                <w:lang w:val="vi-VN"/>
              </w:rPr>
              <w:t>3</w:t>
            </w:r>
            <w:r>
              <w:rPr>
                <w:lang w:val="vi-VN"/>
              </w:rPr>
              <w:t>/hộ/tháng</w:t>
            </w:r>
          </w:p>
        </w:tc>
        <w:tc>
          <w:tcPr>
            <w:tcW w:w="17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74CBF" w14:textId="77777777" w:rsidR="00000000" w:rsidRDefault="00000000">
            <w:pPr>
              <w:spacing w:before="120"/>
              <w:jc w:val="center"/>
            </w:pPr>
            <w:r>
              <w:rPr>
                <w:lang w:val="vi-VN"/>
              </w:rPr>
              <w:t>10.080</w:t>
            </w:r>
          </w:p>
        </w:tc>
      </w:tr>
    </w:tbl>
    <w:p w14:paraId="2A3825E1" w14:textId="77777777" w:rsidR="00000000" w:rsidRDefault="00000000">
      <w:pPr>
        <w:spacing w:before="120" w:after="280" w:afterAutospacing="1"/>
      </w:pPr>
      <w:r>
        <w:rPr>
          <w:lang w:val="vi-VN"/>
        </w:rPr>
        <w:t>Giá nước sạch sinh hoạt nêu trên đã bao gồm thuế GTGT, thuế tài nguyên nước, chi trả tiền dịch vụ môi trường rừng, chi trả tiền cấp quyền khai thác tài nguyên nước, chi lắp đặt đ</w:t>
      </w:r>
      <w:r>
        <w:t>ồ</w:t>
      </w:r>
      <w:r>
        <w:rPr>
          <w:lang w:val="vi-VN"/>
        </w:rPr>
        <w:t>ng hồ nước, ống nhánh theo Nghị định số 177/2007/NĐ-CP nhưng chưa bao gồm phí bảo vệ môi trường đối với nước thải sinh hoạt.</w:t>
      </w:r>
    </w:p>
    <w:p w14:paraId="4711F098" w14:textId="77777777" w:rsidR="00000000" w:rsidRDefault="00000000">
      <w:pPr>
        <w:spacing w:before="120" w:after="280" w:afterAutospacing="1"/>
      </w:pPr>
      <w:r>
        <w:rPr>
          <w:b/>
          <w:bCs/>
          <w:lang w:val="vi-VN"/>
        </w:rPr>
        <w:t>Điều 3.</w:t>
      </w:r>
      <w:r>
        <w:rPr>
          <w:lang w:val="vi-VN"/>
        </w:rPr>
        <w:t xml:space="preserve"> Công ty cổ phần </w:t>
      </w:r>
      <w:r>
        <w:t>C</w:t>
      </w:r>
      <w:r>
        <w:rPr>
          <w:lang w:val="vi-VN"/>
        </w:rPr>
        <w:t>ấp thoát nước Khánh Hòa chịu trách nhiệm:</w:t>
      </w:r>
    </w:p>
    <w:p w14:paraId="1647D87B" w14:textId="77777777" w:rsidR="00000000" w:rsidRDefault="00000000">
      <w:pPr>
        <w:spacing w:before="120" w:after="280" w:afterAutospacing="1"/>
      </w:pPr>
      <w:r>
        <w:rPr>
          <w:lang w:val="vi-VN"/>
        </w:rPr>
        <w:t>1. Quyết định giá tiêu thụ nước sạch cho các mục đích sử dụng khác (ngoài mục đích sử dụng sinh hoạt) theo phương án giá tiêu thụ nước sạch đã được phê duyệt tại Điều 1 Quyết định này.</w:t>
      </w:r>
    </w:p>
    <w:p w14:paraId="5D489151" w14:textId="77777777" w:rsidR="00000000" w:rsidRDefault="00000000">
      <w:pPr>
        <w:spacing w:before="120" w:after="280" w:afterAutospacing="1"/>
      </w:pPr>
      <w:r>
        <w:rPr>
          <w:lang w:val="vi-VN"/>
        </w:rPr>
        <w:t>2. Thực hiện đầu tư đồng bộ đến điểm đấu nối với khách hàng sử dụng nước (bao gồm đ</w:t>
      </w:r>
      <w:r>
        <w:t>ồ</w:t>
      </w:r>
      <w:r>
        <w:rPr>
          <w:lang w:val="vi-VN"/>
        </w:rPr>
        <w:t>ng hồ đo nước, ống nhánh đến hộ sử dụng nước) theo phương án giá tiêu thụ nước sạch đã được phê duyệt tại Điều 1 Quyết định này.</w:t>
      </w:r>
    </w:p>
    <w:p w14:paraId="43FBB7D4" w14:textId="77777777" w:rsidR="00000000" w:rsidRDefault="00000000">
      <w:pPr>
        <w:spacing w:before="120" w:after="280" w:afterAutospacing="1"/>
      </w:pPr>
      <w:r>
        <w:rPr>
          <w:b/>
          <w:bCs/>
          <w:lang w:val="vi-VN"/>
        </w:rPr>
        <w:t>Điều 4.</w:t>
      </w:r>
      <w:r>
        <w:rPr>
          <w:lang w:val="vi-VN"/>
        </w:rPr>
        <w:t xml:space="preserve"> Quyết định này có hiệu lực thi hành kể từ kỳ hóa đơn thu tiền nước tháng 7 năm 2019 và thay thế Quyết định số 3555/QĐ-UBND ngày 23/11/2016 của UBND tỉnh về giá tiêu thụ nước sạch sinh hoạt đô thị trên địa bàn thành phố Nha Trang và một số vùng của huyện Diên Khánh và huyện Cam Lâm do Công ty cổ phần </w:t>
      </w:r>
      <w:r>
        <w:t>C</w:t>
      </w:r>
      <w:r>
        <w:rPr>
          <w:lang w:val="vi-VN"/>
        </w:rPr>
        <w:t>ấp thoát nước Khánh Hòa sản xuất, cung ứng.</w:t>
      </w:r>
    </w:p>
    <w:p w14:paraId="2AC80CF8" w14:textId="77777777" w:rsidR="00000000" w:rsidRDefault="00000000">
      <w:pPr>
        <w:spacing w:before="120" w:after="280" w:afterAutospacing="1"/>
      </w:pPr>
      <w:r>
        <w:rPr>
          <w:b/>
          <w:bCs/>
          <w:lang w:val="vi-VN"/>
        </w:rPr>
        <w:t>Điều 5.</w:t>
      </w:r>
      <w:r>
        <w:rPr>
          <w:lang w:val="vi-VN"/>
        </w:rPr>
        <w:t xml:space="preserve"> Chánh Văn phòng Ủy ban nhân dân tỉnh, Giám đốc các Sở: Tài chính, Xây dựng, Nông nghiệp và Phát triển nông thôn; Chủ tịch Ủy ban nhân dân thành phố Nha Trang, huyện Diên Khánh, huyện Cam Lâm; Tổng Giám đốc Công ty cổ phần cấp thoát nước Khánh Hòa; Thủ trưởng các tổ chức, đơn vị và cá nhân có liên quan chịu trách nhiệm thi hành Quyết định này./.</w:t>
      </w:r>
    </w:p>
    <w:p w14:paraId="57A64E7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E7D40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1D63A2"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Thường trực HĐND tỉnh;</w:t>
            </w:r>
            <w:r>
              <w:rPr>
                <w:sz w:val="16"/>
                <w:lang w:val="vi-VN"/>
              </w:rPr>
              <w:br/>
              <w:t>- Ban Pháp chế HĐND tỉnh;</w:t>
            </w:r>
            <w:r>
              <w:rPr>
                <w:sz w:val="16"/>
                <w:lang w:val="vi-VN"/>
              </w:rPr>
              <w:br/>
              <w:t>- Phong Xây dựng Nhà đất;</w:t>
            </w:r>
            <w:r>
              <w:rPr>
                <w:sz w:val="16"/>
                <w:lang w:val="vi-VN"/>
              </w:rPr>
              <w:br/>
              <w:t>- Lưu VT, HB, H</w:t>
            </w:r>
            <w:r>
              <w:rPr>
                <w:sz w:val="16"/>
              </w:rPr>
              <w:t>l</w:t>
            </w:r>
            <w:r>
              <w:rPr>
                <w:sz w:val="16"/>
                <w:lang w:val="vi-VN"/>
              </w:rPr>
              <w:t>e, HN</w:t>
            </w:r>
            <w:r>
              <w:rPr>
                <w:sz w:val="16"/>
                <w:lang w:val="vi-VN"/>
              </w:rPr>
              <w:br/>
              <w:t>CTN296(QĐZNUOC-2019)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83F200"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Đức Vinh</w:t>
            </w:r>
          </w:p>
        </w:tc>
      </w:tr>
    </w:tbl>
    <w:p w14:paraId="74BDC4D7" w14:textId="77777777" w:rsidR="001464BC" w:rsidRDefault="00000000">
      <w:pPr>
        <w:spacing w:before="120" w:after="280" w:afterAutospacing="1"/>
      </w:pPr>
      <w:r>
        <w:rPr>
          <w:b/>
          <w:bCs/>
        </w:rPr>
        <w:t> </w:t>
      </w:r>
    </w:p>
    <w:sectPr w:rsidR="001464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EA"/>
    <w:rsid w:val="001464BC"/>
    <w:rsid w:val="005C17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4CB2AC"/>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2022-09-16T04:44:00Z</dcterms:created>
  <dcterms:modified xsi:type="dcterms:W3CDTF">2022-09-16T04:44:00Z</dcterms:modified>
</cp:coreProperties>
</file>