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A5E0A3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F8DC92" w14:textId="77777777" w:rsidR="00000000" w:rsidRDefault="00000000">
            <w:pPr>
              <w:spacing w:before="120"/>
              <w:jc w:val="center"/>
            </w:pPr>
            <w:r>
              <w:rPr>
                <w:b/>
                <w:bCs/>
              </w:rPr>
              <w:t xml:space="preserve">ỦY BAN NHÂN DÂN </w:t>
            </w:r>
            <w:r>
              <w:rPr>
                <w:b/>
                <w:bCs/>
              </w:rPr>
              <w:br/>
              <w:t>TỈNH VĨNH LONG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332AE85"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7688E30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4BAE161" w14:textId="77777777" w:rsidR="00000000" w:rsidRDefault="00000000">
            <w:pPr>
              <w:spacing w:before="120"/>
              <w:jc w:val="center"/>
            </w:pPr>
            <w:r>
              <w:t>Số: 1693/QĐ-UBND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0653AAD" w14:textId="77777777" w:rsidR="00000000" w:rsidRDefault="00000000">
            <w:pPr>
              <w:spacing w:before="120"/>
              <w:jc w:val="right"/>
            </w:pPr>
            <w:r>
              <w:rPr>
                <w:i/>
                <w:iCs/>
              </w:rPr>
              <w:t>Vĩnh Long, ngày 23 tháng 8 năm 2022</w:t>
            </w:r>
          </w:p>
        </w:tc>
      </w:tr>
    </w:tbl>
    <w:p w14:paraId="7C7A57D5" w14:textId="77777777" w:rsidR="00000000" w:rsidRDefault="00000000">
      <w:pPr>
        <w:spacing w:before="120" w:after="280" w:afterAutospacing="1"/>
        <w:jc w:val="center"/>
      </w:pPr>
      <w:r>
        <w:rPr>
          <w:b/>
          <w:bCs/>
        </w:rPr>
        <w:t> </w:t>
      </w:r>
    </w:p>
    <w:p w14:paraId="7C8893EA" w14:textId="77777777" w:rsidR="00000000" w:rsidRDefault="00000000">
      <w:pPr>
        <w:spacing w:before="120" w:after="280" w:afterAutospacing="1"/>
        <w:jc w:val="center"/>
      </w:pPr>
      <w:r>
        <w:rPr>
          <w:b/>
          <w:bCs/>
        </w:rPr>
        <w:t>QUYẾT ĐỊNH</w:t>
      </w:r>
    </w:p>
    <w:p w14:paraId="1E9F7CDC" w14:textId="77777777" w:rsidR="00000000" w:rsidRDefault="00000000">
      <w:pPr>
        <w:spacing w:before="120" w:after="280" w:afterAutospacing="1"/>
        <w:jc w:val="center"/>
      </w:pPr>
      <w:r>
        <w:t>SỬA ĐỔI, BỔ SUNG PHỤ LỤC 2, PHỤ LỤC 4 BAN HÀNH KÈM THEO QUYẾT ĐỊNH SỐ 2511/QĐ-UBND NGÀY 14/11/2018 CỦA ỦY BAN NHÂN DÂN TỈNH VỀ VIỆC PHÊ DUYỆT ĐIỀU CHỈNH QUY HOẠCH PHÁT TRIỂN MẠNG LƯỚI GIAO THÔNG VẬN TẢI TỈNH VĨNH LONG ĐẾN NĂM 2020 VÀ ĐỊNH HƯỚNG ĐẾN NĂM 2030</w:t>
      </w:r>
    </w:p>
    <w:p w14:paraId="6785B958" w14:textId="77777777" w:rsidR="00000000" w:rsidRDefault="00000000">
      <w:pPr>
        <w:spacing w:before="120" w:after="280" w:afterAutospacing="1"/>
        <w:jc w:val="center"/>
      </w:pPr>
      <w:r>
        <w:rPr>
          <w:b/>
          <w:bCs/>
        </w:rPr>
        <w:t>ỦY BAN NHÂN DÂN TỈNH</w:t>
      </w:r>
    </w:p>
    <w:p w14:paraId="1024525E" w14:textId="77777777" w:rsidR="00000000" w:rsidRDefault="00000000">
      <w:pPr>
        <w:spacing w:before="120" w:after="280" w:afterAutospacing="1"/>
      </w:pPr>
      <w:r>
        <w:rPr>
          <w:i/>
          <w:iCs/>
        </w:rPr>
        <w:t>Căn cứ Luật Tổ chức Chính quyền địa phương, ngày 19/6/2015;</w:t>
      </w:r>
    </w:p>
    <w:p w14:paraId="5C789B1E" w14:textId="77777777" w:rsidR="00000000" w:rsidRDefault="00000000">
      <w:pPr>
        <w:spacing w:before="120" w:after="280" w:afterAutospacing="1"/>
      </w:pPr>
      <w:r>
        <w:rPr>
          <w:i/>
          <w:iCs/>
        </w:rPr>
        <w:t>Căn cứ Luật Quy hoạch, ngày 24/11/2017;</w:t>
      </w:r>
    </w:p>
    <w:p w14:paraId="19E3A5DE" w14:textId="77777777" w:rsidR="00000000" w:rsidRDefault="00000000">
      <w:pPr>
        <w:spacing w:before="120" w:after="280" w:afterAutospacing="1"/>
      </w:pPr>
      <w:r>
        <w:rPr>
          <w:i/>
          <w:iCs/>
        </w:rPr>
        <w:t>Căn cứ Luật Sửa đổi, bổ sung một số điều của 37 Luật có liên quan đến quy hoạch ngày 20/11/2018;</w:t>
      </w:r>
    </w:p>
    <w:p w14:paraId="4D5EF291" w14:textId="77777777" w:rsidR="00000000" w:rsidRDefault="00000000">
      <w:pPr>
        <w:spacing w:before="120" w:after="280" w:afterAutospacing="1"/>
      </w:pPr>
      <w:r>
        <w:rPr>
          <w:i/>
          <w:iCs/>
        </w:rPr>
        <w:t>Căn cứ Nghị định số 56/2019/NĐ-CP ngày 24/6/2019 của Chính phủ quy định chi tiết thi hành một số điều liên quan đến lĩnh vực giao thông vận tải trong Luật Sửa đổi, bổ sung một số điều của 37 Luật có liên quan đến quy hoạch;</w:t>
      </w:r>
    </w:p>
    <w:p w14:paraId="4E8C7200" w14:textId="77777777" w:rsidR="00000000" w:rsidRDefault="00000000">
      <w:pPr>
        <w:spacing w:before="120" w:after="280" w:afterAutospacing="1"/>
      </w:pPr>
      <w:r>
        <w:rPr>
          <w:i/>
          <w:iCs/>
        </w:rPr>
        <w:t>Căn cứ Nghị quyết số 116/NQ-HĐND ngày 06/7/2018 của Hội đồng nhân dân tỉnh Vĩnh Long, về việc thông qua điều chỉnh quy hoạch phát triển mạng lưới giao thông vận tải tỉnh Vĩnh Long đến năm 2020 và định hướng đến năm 2030;</w:t>
      </w:r>
    </w:p>
    <w:p w14:paraId="7CFE5538" w14:textId="77777777" w:rsidR="00000000" w:rsidRDefault="00000000">
      <w:pPr>
        <w:spacing w:before="120" w:after="280" w:afterAutospacing="1"/>
      </w:pPr>
      <w:r>
        <w:rPr>
          <w:i/>
          <w:iCs/>
        </w:rPr>
        <w:t>Căn cứ Quyết định số 2511/QĐ-UBND ngày 14/11/2018 của UBND tỉnh về việc phê duyệt điều chỉnh quy hoạch phát triển mạng lưới giao thông vận tải tỉnh Vĩnh Long đến năm 2020 và định hướng đến năm 2030;</w:t>
      </w:r>
    </w:p>
    <w:p w14:paraId="441842C6" w14:textId="77777777" w:rsidR="00000000" w:rsidRDefault="00000000">
      <w:pPr>
        <w:spacing w:before="120" w:after="280" w:afterAutospacing="1"/>
      </w:pPr>
      <w:r>
        <w:rPr>
          <w:i/>
          <w:iCs/>
        </w:rPr>
        <w:t>Căn cứ Nghị quyết số 66/NQ-HĐND ngày 15/7/2022 của HĐND tỉnh Sửa đổi, bổ sung Phụ lục 2, Phụ lục 4 ban hành kèm theo Nghị quyết số 116/NQ-HĐND ngày 06/7/2018 của Hội đồng nhân dân tỉnh về việc thông qua điều chỉnh Quy hoạch phát triển mạng lưới giao thông vận tải tỉnh Vĩnh Long đến năm 2020 và định hướng đến năm 2030;</w:t>
      </w:r>
    </w:p>
    <w:p w14:paraId="71C68277" w14:textId="77777777" w:rsidR="00000000" w:rsidRDefault="00000000">
      <w:pPr>
        <w:spacing w:before="120" w:after="280" w:afterAutospacing="1"/>
      </w:pPr>
      <w:r>
        <w:rPr>
          <w:i/>
          <w:iCs/>
        </w:rPr>
        <w:t>Theo đề nghị của Giám đốc Sở Kế hoạch và Đầu tư.</w:t>
      </w:r>
    </w:p>
    <w:p w14:paraId="6787F595" w14:textId="77777777" w:rsidR="00000000" w:rsidRDefault="00000000">
      <w:pPr>
        <w:spacing w:before="120" w:after="280" w:afterAutospacing="1"/>
        <w:jc w:val="center"/>
      </w:pPr>
      <w:r>
        <w:rPr>
          <w:b/>
          <w:bCs/>
        </w:rPr>
        <w:t>QUYẾT ĐỊNH:</w:t>
      </w:r>
    </w:p>
    <w:p w14:paraId="65E533C3" w14:textId="77777777" w:rsidR="00000000" w:rsidRDefault="00000000">
      <w:pPr>
        <w:spacing w:before="120" w:after="280" w:afterAutospacing="1"/>
      </w:pPr>
      <w:r>
        <w:rPr>
          <w:b/>
          <w:bCs/>
        </w:rPr>
        <w:t>Điều 1.</w:t>
      </w:r>
      <w:r>
        <w:t xml:space="preserve"> Sửa đổi, bổ sung Phụ lục 2, Phụ lục 4 ban hành kèm theo Quyết định số 2511/QĐ-UBND ngày 14/11/2018 của UBND tỉnh về việc phê duyệt điều chỉnh quy hoạch phát triển mạng </w:t>
      </w:r>
      <w:r>
        <w:lastRenderedPageBreak/>
        <w:t>lưới giao thông vận tải tỉnh Vĩnh Long đến năm 2020 và định hướng đến năm 2030, cụ thể như sau:</w:t>
      </w:r>
    </w:p>
    <w:p w14:paraId="24FFA97E" w14:textId="77777777" w:rsidR="00000000" w:rsidRDefault="00000000">
      <w:pPr>
        <w:spacing w:before="120" w:after="280" w:afterAutospacing="1"/>
      </w:pPr>
      <w:r>
        <w:rPr>
          <w:b/>
          <w:bCs/>
        </w:rPr>
        <w:t>1. Điều chỉnh hướng tuyến, lý trình tuyến đường</w:t>
      </w:r>
    </w:p>
    <w:p w14:paraId="7F15FE97" w14:textId="77777777" w:rsidR="00000000" w:rsidRDefault="00000000">
      <w:pPr>
        <w:spacing w:before="120" w:after="280" w:afterAutospacing="1"/>
      </w:pPr>
      <w:r>
        <w:rPr>
          <w:b/>
          <w:bCs/>
        </w:rPr>
        <w:t xml:space="preserve">- </w:t>
      </w:r>
      <w:r>
        <w:t>Điểm đầu: tại lý trình Km1+892 Quốc lộ 53.</w:t>
      </w:r>
    </w:p>
    <w:p w14:paraId="09D4F36D" w14:textId="77777777" w:rsidR="00000000" w:rsidRDefault="00000000">
      <w:pPr>
        <w:spacing w:before="120" w:after="280" w:afterAutospacing="1"/>
      </w:pPr>
      <w:r>
        <w:rPr>
          <w:b/>
          <w:bCs/>
        </w:rPr>
        <w:t xml:space="preserve">- </w:t>
      </w:r>
      <w:r>
        <w:t>Điểm cuối: từ rạch Thủy lợi đến giao với tuyến đường Phú Lộc - Bầu Gốc (ĐH.40) và đến Quốc lộ 1A tại Km2084+749.</w:t>
      </w:r>
    </w:p>
    <w:p w14:paraId="498B46C8" w14:textId="77777777" w:rsidR="00000000" w:rsidRDefault="00000000">
      <w:pPr>
        <w:spacing w:before="120" w:after="280" w:afterAutospacing="1"/>
      </w:pPr>
      <w:r>
        <w:rPr>
          <w:b/>
          <w:bCs/>
        </w:rPr>
        <w:t>2. Điều chỉnh, bổ sung chiều rộng mặt cắt ngang tuyến đường ĐT909B</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985"/>
        <w:gridCol w:w="3752"/>
        <w:gridCol w:w="3603"/>
      </w:tblGrid>
      <w:tr w:rsidR="00000000" w14:paraId="5642E153" w14:textId="77777777">
        <w:tc>
          <w:tcPr>
            <w:tcW w:w="1062"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274A9B" w14:textId="77777777" w:rsidR="00000000" w:rsidRDefault="00000000">
            <w:pPr>
              <w:spacing w:before="120"/>
              <w:jc w:val="center"/>
            </w:pPr>
            <w:r>
              <w:rPr>
                <w:b/>
                <w:bCs/>
              </w:rPr>
              <w:t>Lý trình</w:t>
            </w:r>
          </w:p>
        </w:tc>
        <w:tc>
          <w:tcPr>
            <w:tcW w:w="200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66285A" w14:textId="77777777" w:rsidR="00000000" w:rsidRDefault="00000000">
            <w:pPr>
              <w:spacing w:before="120"/>
              <w:jc w:val="center"/>
            </w:pPr>
            <w:r>
              <w:rPr>
                <w:b/>
                <w:bCs/>
              </w:rPr>
              <w:t>Theo Quy hoạch được duyệt</w:t>
            </w:r>
            <w:r>
              <w:t xml:space="preserve"> </w:t>
            </w:r>
            <w:r>
              <w:rPr>
                <w:b/>
                <w:bCs/>
              </w:rPr>
              <w:t>(Quyết định số 2511/QĐ- UBND ngày 14/11/2018)</w:t>
            </w:r>
          </w:p>
        </w:tc>
        <w:tc>
          <w:tcPr>
            <w:tcW w:w="192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26CAE7" w14:textId="77777777" w:rsidR="00000000" w:rsidRDefault="00000000">
            <w:pPr>
              <w:spacing w:before="120"/>
              <w:jc w:val="center"/>
            </w:pPr>
            <w:r>
              <w:rPr>
                <w:b/>
                <w:bCs/>
              </w:rPr>
              <w:t>Điều chỉnh, bổ sung</w:t>
            </w:r>
          </w:p>
        </w:tc>
      </w:tr>
      <w:tr w:rsidR="00000000" w14:paraId="17FFE770" w14:textId="77777777">
        <w:tblPrEx>
          <w:tblBorders>
            <w:top w:val="none" w:sz="0" w:space="0" w:color="auto"/>
            <w:bottom w:val="none" w:sz="0" w:space="0" w:color="auto"/>
            <w:insideH w:val="none" w:sz="0" w:space="0" w:color="auto"/>
            <w:insideV w:val="none" w:sz="0" w:space="0" w:color="auto"/>
          </w:tblBorders>
        </w:tblPrEx>
        <w:tc>
          <w:tcPr>
            <w:tcW w:w="10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CB0C16" w14:textId="77777777" w:rsidR="00000000" w:rsidRDefault="00000000">
            <w:pPr>
              <w:spacing w:before="120"/>
            </w:pPr>
            <w:r>
              <w:t>Km1+950 đến Km3+500.</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9B8727" w14:textId="77777777" w:rsidR="00000000" w:rsidRDefault="00000000">
            <w:pPr>
              <w:spacing w:before="120" w:after="280" w:afterAutospacing="1"/>
            </w:pPr>
            <w:r>
              <w:t>(2,5+7+2,5)m=12m.</w:t>
            </w:r>
          </w:p>
          <w:p w14:paraId="1F9CB0DF" w14:textId="77777777" w:rsidR="00000000" w:rsidRDefault="00000000">
            <w:pPr>
              <w:spacing w:before="120" w:after="280" w:afterAutospacing="1"/>
            </w:pPr>
            <w:r>
              <w:t>Trong đó:</w:t>
            </w:r>
          </w:p>
          <w:p w14:paraId="593A1C59" w14:textId="77777777" w:rsidR="00000000" w:rsidRDefault="00000000">
            <w:pPr>
              <w:spacing w:before="120" w:after="280" w:afterAutospacing="1"/>
            </w:pPr>
            <w:r>
              <w:t>- Mặt đường 7m.</w:t>
            </w:r>
          </w:p>
          <w:p w14:paraId="255E6B29" w14:textId="77777777" w:rsidR="00000000" w:rsidRDefault="00000000">
            <w:pPr>
              <w:spacing w:before="120" w:after="280" w:afterAutospacing="1"/>
            </w:pPr>
            <w:r>
              <w:t>- Lề gia cố mỗi bên 2m.</w:t>
            </w:r>
          </w:p>
          <w:p w14:paraId="3241BBCB" w14:textId="77777777" w:rsidR="00000000" w:rsidRDefault="00000000">
            <w:pPr>
              <w:spacing w:before="120"/>
            </w:pPr>
            <w:r>
              <w:t>- Lề đất bảo vệ mỗi bên 0,5m.</w:t>
            </w:r>
          </w:p>
        </w:tc>
        <w:tc>
          <w:tcPr>
            <w:tcW w:w="1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E218E" w14:textId="77777777" w:rsidR="00000000" w:rsidRDefault="00000000">
            <w:pPr>
              <w:spacing w:before="120" w:after="280" w:afterAutospacing="1"/>
            </w:pPr>
            <w:r>
              <w:t>(1+12+1)m=14m.</w:t>
            </w:r>
          </w:p>
          <w:p w14:paraId="64EA1103" w14:textId="77777777" w:rsidR="00000000" w:rsidRDefault="00000000">
            <w:pPr>
              <w:spacing w:before="120" w:after="280" w:afterAutospacing="1"/>
            </w:pPr>
            <w:r>
              <w:t>Trong đó:</w:t>
            </w:r>
          </w:p>
          <w:p w14:paraId="029B846C" w14:textId="77777777" w:rsidR="00000000" w:rsidRDefault="00000000">
            <w:pPr>
              <w:spacing w:before="120" w:after="280" w:afterAutospacing="1"/>
            </w:pPr>
            <w:r>
              <w:t>- Mặt đường 12m.</w:t>
            </w:r>
          </w:p>
          <w:p w14:paraId="2333DF07" w14:textId="77777777" w:rsidR="00000000" w:rsidRDefault="00000000">
            <w:pPr>
              <w:spacing w:before="120"/>
            </w:pPr>
            <w:r>
              <w:t>- Lề đất mỗi bên 1m.</w:t>
            </w:r>
          </w:p>
        </w:tc>
      </w:tr>
      <w:tr w:rsidR="00000000" w14:paraId="287A5C13" w14:textId="77777777">
        <w:tblPrEx>
          <w:tblBorders>
            <w:top w:val="none" w:sz="0" w:space="0" w:color="auto"/>
            <w:bottom w:val="none" w:sz="0" w:space="0" w:color="auto"/>
            <w:insideH w:val="none" w:sz="0" w:space="0" w:color="auto"/>
            <w:insideV w:val="none" w:sz="0" w:space="0" w:color="auto"/>
          </w:tblBorders>
        </w:tblPrEx>
        <w:tc>
          <w:tcPr>
            <w:tcW w:w="10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5E80A3" w14:textId="77777777" w:rsidR="00000000" w:rsidRDefault="00000000">
            <w:pPr>
              <w:spacing w:before="120"/>
            </w:pPr>
            <w:r>
              <w:t>Km3+500 đến Km6+660.</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79DBF5" w14:textId="77777777" w:rsidR="00000000" w:rsidRDefault="00000000">
            <w:pPr>
              <w:spacing w:before="120" w:after="280" w:afterAutospacing="1"/>
            </w:pPr>
            <w:r>
              <w:t>(2,5+7+2,5)m=12m.</w:t>
            </w:r>
          </w:p>
          <w:p w14:paraId="18F831AE" w14:textId="77777777" w:rsidR="00000000" w:rsidRDefault="00000000">
            <w:pPr>
              <w:spacing w:before="120" w:after="280" w:afterAutospacing="1"/>
            </w:pPr>
            <w:r>
              <w:t>Trong đó:</w:t>
            </w:r>
          </w:p>
          <w:p w14:paraId="04969471" w14:textId="77777777" w:rsidR="00000000" w:rsidRDefault="00000000">
            <w:pPr>
              <w:spacing w:before="120" w:after="280" w:afterAutospacing="1"/>
            </w:pPr>
            <w:r>
              <w:t>- Mặt đường 7m.</w:t>
            </w:r>
          </w:p>
          <w:p w14:paraId="1FC95752" w14:textId="77777777" w:rsidR="00000000" w:rsidRDefault="00000000">
            <w:pPr>
              <w:spacing w:before="120" w:after="280" w:afterAutospacing="1"/>
            </w:pPr>
            <w:r>
              <w:t>- Lề gia cố mỗi bên 2m.</w:t>
            </w:r>
          </w:p>
          <w:p w14:paraId="0A2794F9" w14:textId="77777777" w:rsidR="00000000" w:rsidRDefault="00000000">
            <w:pPr>
              <w:spacing w:before="120"/>
            </w:pPr>
            <w:r>
              <w:t>- Lề đất bảo vệ mỗi bên 0,5m.</w:t>
            </w:r>
          </w:p>
        </w:tc>
        <w:tc>
          <w:tcPr>
            <w:tcW w:w="1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8AC011" w14:textId="77777777" w:rsidR="00000000" w:rsidRDefault="00000000">
            <w:pPr>
              <w:spacing w:before="120" w:after="280" w:afterAutospacing="1"/>
            </w:pPr>
            <w:r>
              <w:t>(1+12+1)m=14m.</w:t>
            </w:r>
          </w:p>
          <w:p w14:paraId="04F71B14" w14:textId="77777777" w:rsidR="00000000" w:rsidRDefault="00000000">
            <w:pPr>
              <w:spacing w:before="120" w:after="280" w:afterAutospacing="1"/>
            </w:pPr>
            <w:r>
              <w:t>Trong đó:</w:t>
            </w:r>
          </w:p>
          <w:p w14:paraId="16D68C02" w14:textId="77777777" w:rsidR="00000000" w:rsidRDefault="00000000">
            <w:pPr>
              <w:spacing w:before="120" w:after="280" w:afterAutospacing="1"/>
            </w:pPr>
            <w:r>
              <w:t>- Mặt đường 12m.</w:t>
            </w:r>
          </w:p>
          <w:p w14:paraId="3FC5F5FA" w14:textId="77777777" w:rsidR="00000000" w:rsidRDefault="00000000">
            <w:pPr>
              <w:spacing w:before="120"/>
            </w:pPr>
            <w:r>
              <w:t>- Lề đất mỗi bên 1m.</w:t>
            </w:r>
          </w:p>
        </w:tc>
      </w:tr>
      <w:tr w:rsidR="00000000" w14:paraId="5539D327" w14:textId="77777777">
        <w:tblPrEx>
          <w:tblBorders>
            <w:top w:val="none" w:sz="0" w:space="0" w:color="auto"/>
            <w:bottom w:val="none" w:sz="0" w:space="0" w:color="auto"/>
            <w:insideH w:val="none" w:sz="0" w:space="0" w:color="auto"/>
            <w:insideV w:val="none" w:sz="0" w:space="0" w:color="auto"/>
          </w:tblBorders>
        </w:tblPrEx>
        <w:tc>
          <w:tcPr>
            <w:tcW w:w="10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2B2016" w14:textId="77777777" w:rsidR="00000000" w:rsidRDefault="00000000">
            <w:pPr>
              <w:spacing w:before="120"/>
            </w:pPr>
            <w:r>
              <w:t>Km6+660 đến Km9+060.</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AEE5F" w14:textId="77777777" w:rsidR="00000000" w:rsidRDefault="00000000">
            <w:pPr>
              <w:spacing w:before="120" w:after="280" w:afterAutospacing="1"/>
            </w:pPr>
            <w:r>
              <w:t>(2,5+7+2,5)m=12m.</w:t>
            </w:r>
          </w:p>
          <w:p w14:paraId="35176816" w14:textId="77777777" w:rsidR="00000000" w:rsidRDefault="00000000">
            <w:pPr>
              <w:spacing w:before="120" w:after="280" w:afterAutospacing="1"/>
            </w:pPr>
            <w:r>
              <w:t>Trong đó:</w:t>
            </w:r>
          </w:p>
          <w:p w14:paraId="5E00E8F6" w14:textId="77777777" w:rsidR="00000000" w:rsidRDefault="00000000">
            <w:pPr>
              <w:spacing w:before="120" w:after="280" w:afterAutospacing="1"/>
            </w:pPr>
            <w:r>
              <w:t>- Mặt đường 7m.</w:t>
            </w:r>
          </w:p>
          <w:p w14:paraId="63F5FE74" w14:textId="77777777" w:rsidR="00000000" w:rsidRDefault="00000000">
            <w:pPr>
              <w:spacing w:before="120" w:after="280" w:afterAutospacing="1"/>
            </w:pPr>
            <w:r>
              <w:t>- Lề gia cố mỗi bên 2m.</w:t>
            </w:r>
          </w:p>
          <w:p w14:paraId="6F2FA737" w14:textId="77777777" w:rsidR="00000000" w:rsidRDefault="00000000">
            <w:pPr>
              <w:spacing w:before="120"/>
            </w:pPr>
            <w:r>
              <w:t>- Lề đất bảo vệ mỗi bên 0,5m.</w:t>
            </w:r>
          </w:p>
        </w:tc>
        <w:tc>
          <w:tcPr>
            <w:tcW w:w="1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2EEB95" w14:textId="77777777" w:rsidR="00000000" w:rsidRDefault="00000000">
            <w:pPr>
              <w:spacing w:before="120" w:after="280" w:afterAutospacing="1"/>
            </w:pPr>
            <w:r>
              <w:t>(1+12+1)m=14m.</w:t>
            </w:r>
          </w:p>
          <w:p w14:paraId="2D107DAF" w14:textId="77777777" w:rsidR="00000000" w:rsidRDefault="00000000">
            <w:pPr>
              <w:spacing w:before="120" w:after="280" w:afterAutospacing="1"/>
            </w:pPr>
            <w:r>
              <w:t>Trong đó:</w:t>
            </w:r>
          </w:p>
          <w:p w14:paraId="6CB27225" w14:textId="77777777" w:rsidR="00000000" w:rsidRDefault="00000000">
            <w:pPr>
              <w:spacing w:before="120" w:after="280" w:afterAutospacing="1"/>
            </w:pPr>
            <w:r>
              <w:t>- Mặt đường 12m.</w:t>
            </w:r>
          </w:p>
          <w:p w14:paraId="14D1F1E6" w14:textId="77777777" w:rsidR="00000000" w:rsidRDefault="00000000">
            <w:pPr>
              <w:spacing w:before="120"/>
            </w:pPr>
            <w:r>
              <w:t>- Lề đất mỗi bên 1m.</w:t>
            </w:r>
          </w:p>
        </w:tc>
      </w:tr>
      <w:tr w:rsidR="00000000" w14:paraId="17A1443A" w14:textId="77777777">
        <w:tblPrEx>
          <w:tblBorders>
            <w:top w:val="none" w:sz="0" w:space="0" w:color="auto"/>
            <w:bottom w:val="none" w:sz="0" w:space="0" w:color="auto"/>
            <w:insideH w:val="none" w:sz="0" w:space="0" w:color="auto"/>
            <w:insideV w:val="none" w:sz="0" w:space="0" w:color="auto"/>
          </w:tblBorders>
        </w:tblPrEx>
        <w:tc>
          <w:tcPr>
            <w:tcW w:w="10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6666DC4" w14:textId="77777777" w:rsidR="00000000" w:rsidRDefault="00000000">
            <w:pPr>
              <w:spacing w:before="120"/>
            </w:pPr>
            <w:r>
              <w:t>Km9+060 đến Km10+960</w:t>
            </w:r>
            <w:r>
              <w:br/>
              <w:t>(đoạn từ KCN Hòa Phú đến đường ĐH40).</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8DAF93" w14:textId="77777777" w:rsidR="00000000" w:rsidRDefault="00000000">
            <w:pPr>
              <w:spacing w:before="120"/>
            </w:pPr>
            <w:r>
              <w:t>Chưa có quy hoạch.</w:t>
            </w:r>
          </w:p>
        </w:tc>
        <w:tc>
          <w:tcPr>
            <w:tcW w:w="1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57D28" w14:textId="77777777" w:rsidR="00000000" w:rsidRDefault="00000000">
            <w:pPr>
              <w:spacing w:before="120" w:after="280" w:afterAutospacing="1"/>
            </w:pPr>
            <w:r>
              <w:t>(1+12+1)m=14m.</w:t>
            </w:r>
          </w:p>
          <w:p w14:paraId="11EF50CF" w14:textId="77777777" w:rsidR="00000000" w:rsidRDefault="00000000">
            <w:pPr>
              <w:spacing w:before="120" w:after="280" w:afterAutospacing="1"/>
            </w:pPr>
            <w:r>
              <w:t>Trong đó:</w:t>
            </w:r>
          </w:p>
          <w:p w14:paraId="24FBD08B" w14:textId="77777777" w:rsidR="00000000" w:rsidRDefault="00000000">
            <w:pPr>
              <w:spacing w:before="120" w:after="280" w:afterAutospacing="1"/>
            </w:pPr>
            <w:r>
              <w:t>- Mặt đường 12m.</w:t>
            </w:r>
          </w:p>
          <w:p w14:paraId="6B7C38F0" w14:textId="77777777" w:rsidR="00000000" w:rsidRDefault="00000000">
            <w:pPr>
              <w:spacing w:before="120"/>
            </w:pPr>
            <w:r>
              <w:t>- Lề đất mỗi bên 1m.</w:t>
            </w:r>
          </w:p>
        </w:tc>
      </w:tr>
      <w:tr w:rsidR="00000000" w14:paraId="40BEA23F" w14:textId="77777777">
        <w:tblPrEx>
          <w:tblBorders>
            <w:top w:val="none" w:sz="0" w:space="0" w:color="auto"/>
            <w:bottom w:val="none" w:sz="0" w:space="0" w:color="auto"/>
            <w:insideH w:val="none" w:sz="0" w:space="0" w:color="auto"/>
            <w:insideV w:val="none" w:sz="0" w:space="0" w:color="auto"/>
          </w:tblBorders>
        </w:tblPrEx>
        <w:tc>
          <w:tcPr>
            <w:tcW w:w="1062"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C3346C" w14:textId="77777777" w:rsidR="00000000" w:rsidRDefault="00000000">
            <w:pPr>
              <w:spacing w:before="120"/>
            </w:pPr>
            <w:r>
              <w:t>Km10+960 đến Km12+260</w:t>
            </w:r>
            <w:r>
              <w:br/>
              <w:t>(đoạn trùng với đường ĐH40).</w:t>
            </w:r>
          </w:p>
        </w:tc>
        <w:tc>
          <w:tcPr>
            <w:tcW w:w="200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BED46B" w14:textId="77777777" w:rsidR="00000000" w:rsidRDefault="00000000">
            <w:pPr>
              <w:spacing w:before="120" w:after="280" w:afterAutospacing="1"/>
            </w:pPr>
            <w:r>
              <w:t>(1+5,5+1)m=7,5m.</w:t>
            </w:r>
          </w:p>
          <w:p w14:paraId="62E80E1F" w14:textId="77777777" w:rsidR="00000000" w:rsidRDefault="00000000">
            <w:pPr>
              <w:spacing w:before="120" w:after="280" w:afterAutospacing="1"/>
            </w:pPr>
            <w:r>
              <w:t>Trong đó:</w:t>
            </w:r>
          </w:p>
          <w:p w14:paraId="7B72A1D6" w14:textId="77777777" w:rsidR="00000000" w:rsidRDefault="00000000">
            <w:pPr>
              <w:spacing w:before="120" w:after="280" w:afterAutospacing="1"/>
            </w:pPr>
            <w:r>
              <w:t>- Mặt đường 5,5m.</w:t>
            </w:r>
          </w:p>
          <w:p w14:paraId="77B78221" w14:textId="77777777" w:rsidR="00000000" w:rsidRDefault="00000000">
            <w:pPr>
              <w:spacing w:before="120"/>
            </w:pPr>
            <w:r>
              <w:t>- Lề mỗi bên 1m.</w:t>
            </w:r>
          </w:p>
        </w:tc>
        <w:tc>
          <w:tcPr>
            <w:tcW w:w="192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0821B3" w14:textId="77777777" w:rsidR="00000000" w:rsidRDefault="00000000">
            <w:pPr>
              <w:spacing w:before="120" w:after="280" w:afterAutospacing="1"/>
            </w:pPr>
            <w:r>
              <w:t>(1+12+1)m=14m.</w:t>
            </w:r>
          </w:p>
          <w:p w14:paraId="1101B7A8" w14:textId="77777777" w:rsidR="00000000" w:rsidRDefault="00000000">
            <w:pPr>
              <w:spacing w:before="120" w:after="280" w:afterAutospacing="1"/>
            </w:pPr>
            <w:r>
              <w:t>Trong đó:</w:t>
            </w:r>
          </w:p>
          <w:p w14:paraId="09EF6387" w14:textId="77777777" w:rsidR="00000000" w:rsidRDefault="00000000">
            <w:pPr>
              <w:spacing w:before="120" w:after="280" w:afterAutospacing="1"/>
            </w:pPr>
            <w:r>
              <w:t>- Mặt đường 12m.</w:t>
            </w:r>
          </w:p>
          <w:p w14:paraId="3FC9EE10" w14:textId="77777777" w:rsidR="00000000" w:rsidRDefault="00000000">
            <w:pPr>
              <w:spacing w:before="120"/>
            </w:pPr>
            <w:r>
              <w:t>- Lề đất mỗi bên 1m.</w:t>
            </w:r>
          </w:p>
        </w:tc>
      </w:tr>
    </w:tbl>
    <w:p w14:paraId="6C631AD5" w14:textId="77777777" w:rsidR="00000000" w:rsidRDefault="00000000">
      <w:pPr>
        <w:spacing w:before="120" w:after="280" w:afterAutospacing="1"/>
      </w:pPr>
      <w:r>
        <w:rPr>
          <w:b/>
          <w:bCs/>
        </w:rPr>
        <w:t xml:space="preserve">Các nội dung khác: </w:t>
      </w:r>
      <w:r>
        <w:t>Giữ nguyên theo Quyết định số 2511/QĐ-UBND ngày 14/11/2018 của Ủy ban nhân dân tỉnh.</w:t>
      </w:r>
    </w:p>
    <w:p w14:paraId="31095650" w14:textId="77777777" w:rsidR="00000000" w:rsidRDefault="00000000">
      <w:pPr>
        <w:spacing w:before="120" w:after="280" w:afterAutospacing="1"/>
      </w:pPr>
      <w:r>
        <w:rPr>
          <w:b/>
          <w:bCs/>
        </w:rPr>
        <w:t>Điều 2.</w:t>
      </w:r>
      <w:r>
        <w:t xml:space="preserve"> Tổ chức thực hiện</w:t>
      </w:r>
    </w:p>
    <w:p w14:paraId="4E411B7F" w14:textId="77777777" w:rsidR="00000000" w:rsidRDefault="00000000">
      <w:pPr>
        <w:spacing w:before="120" w:after="280" w:afterAutospacing="1"/>
      </w:pPr>
      <w:r>
        <w:t>Sở Giao thông vận tải chủ trì, phối hợp các sở, ban ngành, đơn vị liên quan và Ủy ban nhân các huyện, thị xã, thành phố triển khai thực hiện. Trong quá trình thực hiện cần cập nhật các quy định chuyên ngành, đề xuất điều chỉnh, bổ sung cho phù hợp từng giai đoạn và theo đúng các quy định hiện hành của Nhà nước.</w:t>
      </w:r>
    </w:p>
    <w:p w14:paraId="32C8A836" w14:textId="77777777" w:rsidR="00000000" w:rsidRDefault="00000000">
      <w:pPr>
        <w:spacing w:before="120" w:after="280" w:afterAutospacing="1"/>
      </w:pPr>
      <w:r>
        <w:rPr>
          <w:b/>
          <w:bCs/>
        </w:rPr>
        <w:t>Điều 3.</w:t>
      </w:r>
      <w:r>
        <w:t xml:space="preserve"> Chánh Văn phòng UBND tỉnh, Giám đốc Sở Kế hoạch và Đầu tư, Giám đốc Sở Giao thông vận tải, Giám đốc Sở Xây dựng, Giám đốc Sở Tài nguyên và Môi trường, Giám đốc Sở Tài chính, Chủ tịch UBND các huyện, thị xã, thành phố, Thủ trưởng các sở, ban ngành, đơn vị có liên quan chịu trách nhiệm thi hành quyết định này;</w:t>
      </w:r>
    </w:p>
    <w:p w14:paraId="56E9E79F" w14:textId="77777777" w:rsidR="00000000" w:rsidRDefault="00000000">
      <w:pPr>
        <w:spacing w:before="120" w:after="280" w:afterAutospacing="1"/>
      </w:pPr>
      <w:r>
        <w:t>Quyết định này có hiệu lực kể từ ngày ký./.</w:t>
      </w:r>
    </w:p>
    <w:p w14:paraId="6667ADF4" w14:textId="77777777" w:rsidR="00000000" w:rsidRDefault="00000000">
      <w:pPr>
        <w:spacing w:before="120" w:after="280" w:afterAutospacing="1"/>
      </w:pPr>
      <w:r>
        <w:rPr>
          <w:b/>
          <w:bCs/>
          <w:i/>
          <w:iCs/>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04ED065"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28958C3" w14:textId="77777777" w:rsidR="00000000" w:rsidRDefault="00000000">
            <w:pPr>
              <w:spacing w:before="120"/>
            </w:pPr>
            <w:r>
              <w:rPr>
                <w:b/>
                <w:bCs/>
                <w:i/>
                <w:iCs/>
              </w:rPr>
              <w:br/>
              <w:t>Nơi nhận:</w:t>
            </w:r>
            <w:r>
              <w:rPr>
                <w:b/>
                <w:bCs/>
                <w:i/>
                <w:iCs/>
              </w:rPr>
              <w:br/>
            </w:r>
            <w:r>
              <w:rPr>
                <w:sz w:val="16"/>
              </w:rPr>
              <w:t>- Như điều 3;</w:t>
            </w:r>
            <w:r>
              <w:rPr>
                <w:sz w:val="16"/>
              </w:rPr>
              <w:br/>
              <w:t>- TT HĐND tỉnh (báo cáo);</w:t>
            </w:r>
            <w:r>
              <w:rPr>
                <w:sz w:val="16"/>
              </w:rPr>
              <w:br/>
              <w:t>- TT UBND UBND tỉnh;</w:t>
            </w:r>
            <w:r>
              <w:rPr>
                <w:sz w:val="16"/>
              </w:rPr>
              <w:br/>
              <w:t>- LĐ VPUBND tỉnh;</w:t>
            </w:r>
            <w:r>
              <w:rPr>
                <w:sz w:val="16"/>
              </w:rPr>
              <w:br/>
              <w:t>- Phòng KTNV;</w:t>
            </w:r>
            <w:r>
              <w:rPr>
                <w:sz w:val="16"/>
              </w:rPr>
              <w:br/>
              <w:t>- Lưu: VT, 5.09.05.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1EF2A0" w14:textId="77777777" w:rsidR="00000000" w:rsidRDefault="00000000">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Nguyễn Văn Liệt</w:t>
            </w:r>
          </w:p>
        </w:tc>
      </w:tr>
    </w:tbl>
    <w:p w14:paraId="1A9D9E97" w14:textId="77777777" w:rsidR="00000000" w:rsidRDefault="00000000">
      <w:pPr>
        <w:spacing w:before="120" w:after="280" w:afterAutospacing="1"/>
      </w:pPr>
      <w:r>
        <w:t> </w:t>
      </w:r>
    </w:p>
    <w:p w14:paraId="2BD9CFEA" w14:textId="77777777" w:rsidR="00000000" w:rsidRDefault="00000000">
      <w:pPr>
        <w:spacing w:before="120" w:after="280" w:afterAutospacing="1"/>
      </w:pPr>
      <w:r>
        <w:t> </w:t>
      </w:r>
    </w:p>
    <w:p w14:paraId="5E09FB4E" w14:textId="77777777" w:rsidR="00000000" w:rsidRDefault="00000000">
      <w:pPr>
        <w:spacing w:before="120" w:after="280" w:afterAutospacing="1"/>
        <w:jc w:val="center"/>
      </w:pPr>
      <w:r>
        <w:t> </w:t>
      </w:r>
    </w:p>
    <w:p w14:paraId="3FFABB20" w14:textId="77777777" w:rsidR="006E323F" w:rsidRDefault="00000000">
      <w:pPr>
        <w:spacing w:before="120" w:after="280" w:afterAutospacing="1"/>
      </w:pPr>
      <w:r>
        <w:rPr>
          <w:b/>
          <w:bCs/>
        </w:rPr>
        <w:t> </w:t>
      </w:r>
    </w:p>
    <w:sectPr w:rsidR="006E32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96A"/>
    <w:rsid w:val="000D496A"/>
    <w:rsid w:val="006E323F"/>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1FEB5C"/>
  <w15:chartTrackingRefBased/>
  <w15:docId w15:val="{7B2EACD3-6A1A-4050-88C0-A513D102C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629</Words>
  <Characters>3587</Characters>
  <Application>Microsoft Office Word</Application>
  <DocSecurity>0</DocSecurity>
  <Lines>29</Lines>
  <Paragraphs>8</Paragraphs>
  <ScaleCrop>false</ScaleCrop>
  <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2022-09-05T02:01:00Z</dcterms:created>
  <dcterms:modified xsi:type="dcterms:W3CDTF">2022-09-05T02:01:00Z</dcterms:modified>
</cp:coreProperties>
</file>