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5A" w:rsidRPr="00CC53A0" w:rsidRDefault="00F5535A" w:rsidP="00CC53A0">
      <w:pPr>
        <w:shd w:val="clear" w:color="auto" w:fill="FFFFFF"/>
        <w:spacing w:after="120" w:line="234" w:lineRule="atLeast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C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ỘNG 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ÒA XÃ 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ỘI CHỦ NGHĨA VIỆT NAM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br/>
      </w:r>
      <w:r w:rsidRPr="00CC53A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"/>
        </w:rPr>
        <w:t>Đ</w:t>
      </w:r>
      <w:r w:rsidRPr="00CC53A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ộc lập - Tự do - Hạnh ph</w:t>
      </w:r>
      <w:r w:rsidRPr="00CC53A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úc</w:t>
      </w:r>
    </w:p>
    <w:p w:rsidR="00F5535A" w:rsidRPr="00CC53A0" w:rsidRDefault="00F5535A" w:rsidP="00CC53A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ỢP ĐỒNG THẾ CHẤP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br/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TÀI S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ÌNH THÀNH TRONG TƯƠNG LAI</w:t>
      </w:r>
    </w:p>
    <w:p w:rsidR="00F5535A" w:rsidRPr="00CC53A0" w:rsidRDefault="00F5535A" w:rsidP="00F5535A">
      <w:pPr>
        <w:shd w:val="clear" w:color="auto" w:fill="FFFFFF"/>
        <w:spacing w:after="120" w:line="234" w:lineRule="atLeast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S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ố:……………….</w:t>
      </w:r>
    </w:p>
    <w:p w:rsidR="00F5535A" w:rsidRPr="00CC53A0" w:rsidRDefault="00F5535A" w:rsidP="00F5535A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Theo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của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bên,</w:t>
      </w:r>
    </w:p>
    <w:p w:rsidR="00F5535A" w:rsidRPr="00CC53A0" w:rsidRDefault="00F5535A" w:rsidP="00F5535A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Hôm nay, ngày ……./…../20…., chúng tôi g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ồm:</w:t>
      </w:r>
    </w:p>
    <w:p w:rsidR="00F5535A" w:rsidRPr="00CC53A0" w:rsidRDefault="00F5535A" w:rsidP="00F5535A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1. BÊN NH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ẬN THẾ CHẤP (B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ên A)</w:t>
      </w:r>
    </w:p>
    <w:p w:rsidR="0040007A" w:rsidRPr="00CC53A0" w:rsidRDefault="0040007A" w:rsidP="0040007A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Tên t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ổ chức: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……………………………………………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………………………………..</w:t>
      </w:r>
    </w:p>
    <w:p w:rsidR="0040007A" w:rsidRPr="004A53BF" w:rsidRDefault="0040007A" w:rsidP="0040007A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ịa chỉ: ……………………………………………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……………………………………</w:t>
      </w:r>
    </w:p>
    <w:p w:rsidR="0040007A" w:rsidRPr="004A53BF" w:rsidRDefault="0040007A" w:rsidP="0040007A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chứng nhận ĐKKD/ Giấy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ép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tư/Quyết định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ành l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ập số:………………………. ng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ày: …../ …… / …….. do: ………….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ấp.</w:t>
      </w:r>
    </w:p>
    <w:p w:rsidR="0040007A" w:rsidRPr="004A53BF" w:rsidRDefault="0040007A" w:rsidP="0040007A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Mã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doanh nghiệp: …………………………………………………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…………………</w:t>
      </w:r>
    </w:p>
    <w:p w:rsidR="00F5535A" w:rsidRPr="00CC53A0" w:rsidRDefault="0040007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điện thoại: ……… số fax: ……………… Email: .........................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.............................</w:t>
      </w:r>
      <w:bookmarkStart w:id="0" w:name="_GoBack"/>
      <w:bookmarkEnd w:id="0"/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2. BÊN TH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Ế CHẤP (B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ên B)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Tên t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ổ chức: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……………………………………………</w:t>
      </w:r>
      <w:r w:rsidR="009E70E7" w:rsidRPr="00CC53A0"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………………………………..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ịa chỉ: ……………………………………………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……………………………………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chứng nhận ĐKKD/ Giấy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ép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tư/Quyết định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ành l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ập số:………………………. ng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ày: …../ …… / …….. do: ………….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ấp.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Mã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doanh nghiệp: ………………………………………………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…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…………………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điện thoại: ……… số fax: ……………… Email: .........................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.............................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H</w:t>
      </w:r>
      <w:r w:rsidRPr="004A53BF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ọ v</w:t>
      </w:r>
      <w:r w:rsidRPr="004A53BF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à tên ngư</w:t>
      </w:r>
      <w:r w:rsidRPr="004A53BF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ời đại diện: 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……. Chức vụ: …………… Năm sinh:……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ủy quyền số: ……. ng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…./…../….. do ………………. 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ủy quyền.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CMND/Hộ chiếu số: …… cấp ng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…./…./……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ại: ……………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………………</w:t>
      </w:r>
    </w:p>
    <w:p w:rsidR="00F5535A" w:rsidRPr="004A53BF" w:rsidRDefault="00F5535A" w:rsidP="004A53BF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ịa chỉ li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ệ: …………………………………………………….......</w:t>
      </w:r>
      <w:r w:rsidR="009E70E7" w:rsidRPr="004A53BF">
        <w:rPr>
          <w:rFonts w:ascii="Times New Roman" w:eastAsia="Times New Roman" w:hAnsi="Times New Roman"/>
          <w:color w:val="000000"/>
          <w:sz w:val="26"/>
          <w:szCs w:val="26"/>
        </w:rPr>
        <w:t>...........................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đảm bảo thanh to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ầy đủ, kịp thời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nghĩa v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theo dư nợ đ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 có ho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sẽ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át sinh trong tương lai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v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A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vay k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ý gi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và Ngân hàng … ngày …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Ch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gi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 …, các bên cùng nhau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k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ý k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Hợp đồng thế chấp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ình thành trong tương lai cho khoản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vay … của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đầu tư Dự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… v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ội dung sau:</w:t>
      </w:r>
    </w:p>
    <w:p w:rsidR="00F5535A" w:rsidRPr="00CC53A0" w:rsidRDefault="004A53BF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1. T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ÀI S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ẢN THẾ CHẤP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chấp cho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A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cả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tài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quyền, lợi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ích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g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ắn liền với khoản vay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D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như sau: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lastRenderedPageBreak/>
        <w:t>1.1. Bên B là ch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ủ sở hữu hợp ph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áp các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v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 các quy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ền, lợi 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ích liên quan đ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ến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ình thành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ừ khoản vay được Ch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ính ph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ủ bảo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ãnh theo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ợp đồng vay k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ý ngày … gi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ữa… v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 các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kh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(n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ếu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ó) sau đây: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a) Các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ạng mục kiến tr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úc công trình, máy móc thi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bị, tư vấn, giải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óng m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ặt bằng… cấu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 nên D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….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b) Quy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nhận tiền bồi ho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 và/ho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thanh to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liên quan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thụ hưởng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đồng; bảo hiểm x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ây d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ựng hoặc bảo hiểm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(trong thời gian x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ây d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ựng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v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ành)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êu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Điều 3.4.8 của Hợp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c) Quy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khai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ác,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Dự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án (s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đất,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nguyên, kinh doanh…)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1.2. Các lo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ại giấy tờ chứng minh quyền sở hữu hoặc đồng chủ sở hữu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ình thành trong tương lai 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ừ khoản vay được Ch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ính ph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ủ bảo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ãnh và các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kh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(n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ếu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ó)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……………………………………………………………………………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1.3.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ình thành trong tương lai là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ình thành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ừ Dự 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án …, trên th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ửa đất được cơ quan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ó th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ẩm quyền giao cho B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ên B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ử dụng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(theo Giấy chứng nhận quyền sử dụng đất số:…):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a)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gắn với thửa đất: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…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b) Th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ửa đất: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-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ửa đất số: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                          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; - Tờ bản đồ số: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-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ịa chỉ thửa đất: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- Di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ện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ích: (B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chữ: …)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-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hạn sử dụng: …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- Ngu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ồn gốc sử dụng: …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1.4. Giá tr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ị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ình thành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ừ vốn vay trong tương lai:</w:t>
      </w:r>
    </w:p>
    <w:p w:rsidR="00F5535A" w:rsidRPr="004A53BF" w:rsidRDefault="00F5535A" w:rsidP="004A53BF">
      <w:pPr>
        <w:pStyle w:val="ListParagraph"/>
        <w:numPr>
          <w:ilvl w:val="0"/>
          <w:numId w:val="12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ình thành trong tương lai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nguồn vốn vay được x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tr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cơ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 Hợp đồng thương mại ... (c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chưa bao gồm thuế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…) đã ký 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và … ngày …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thanh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Hợp đồng vay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 ký 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và … ngày … và các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thanh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Hợp đồng vay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ó); Quy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định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 duy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ệt Dự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… ng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… (v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tổng mức đầu tư được duyệt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…)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…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các văn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có liên quan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Hợp đồng thương mại.</w:t>
      </w:r>
    </w:p>
    <w:p w:rsidR="00F5535A" w:rsidRPr="004A53BF" w:rsidRDefault="00F5535A" w:rsidP="004A53BF">
      <w:pPr>
        <w:pStyle w:val="ListParagraph"/>
        <w:numPr>
          <w:ilvl w:val="0"/>
          <w:numId w:val="12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có trách nhi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ệm phối hợp với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l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theo quy định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, được lập thanh bi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á,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coi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 phận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tách 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có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lý theo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4A53BF" w:rsidRDefault="00F5535A" w:rsidP="004A53BF">
      <w:pPr>
        <w:pStyle w:val="ListParagraph"/>
        <w:numPr>
          <w:ilvl w:val="0"/>
          <w:numId w:val="12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tại Điều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không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 khi xử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chấp.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bên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thống nhất phương thức định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tại thời điểm xử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ý.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được,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có quy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quyết định việc định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á, Bên B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cam k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chấp thuận kết quả định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mà không khi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nại, khiếu kiện.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1.5. Đ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ịnh gi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ại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thế chấp trong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trư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ờng hợp sau:</w:t>
      </w:r>
    </w:p>
    <w:p w:rsidR="00F5535A" w:rsidRPr="004A53BF" w:rsidRDefault="00F5535A" w:rsidP="004A53BF">
      <w:pPr>
        <w:pStyle w:val="ListParagraph"/>
        <w:numPr>
          <w:ilvl w:val="0"/>
          <w:numId w:val="18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Theo quy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định của cơ quan nh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nư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ẩm quyền.</w:t>
      </w:r>
    </w:p>
    <w:p w:rsidR="00F5535A" w:rsidRPr="004A53BF" w:rsidRDefault="00F5535A" w:rsidP="004A53BF">
      <w:pPr>
        <w:pStyle w:val="ListParagraph"/>
        <w:numPr>
          <w:ilvl w:val="0"/>
          <w:numId w:val="18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chuyển đổi sở hữu doanh nghiệp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 :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ổ phần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óa, bán ho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chuyển đổi sở hữu doanh nghiệp theo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hình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ác.</w:t>
      </w:r>
    </w:p>
    <w:p w:rsidR="00F5535A" w:rsidRPr="004A53BF" w:rsidRDefault="00F5535A" w:rsidP="004A53BF">
      <w:pPr>
        <w:pStyle w:val="ListParagraph"/>
        <w:numPr>
          <w:ilvl w:val="0"/>
          <w:numId w:val="18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Dùng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đầu tư ra ngo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doanh nghi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ệp.</w:t>
      </w:r>
    </w:p>
    <w:p w:rsidR="00F5535A" w:rsidRPr="004A53BF" w:rsidRDefault="00F5535A" w:rsidP="004A53BF">
      <w:pPr>
        <w:pStyle w:val="ListParagraph"/>
        <w:numPr>
          <w:ilvl w:val="0"/>
          <w:numId w:val="18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4A53BF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2. NGHĨA VỤ ĐƯỢC BẢO ĐẢM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nguyện đem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ói trên (k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cả khoản tiền hoặc hợp đồng bảo hiểm cho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- 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ó)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chấp cho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A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đảm bảo cho nghĩa vụ trả nợ của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theo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ổng trị gi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 bao g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ồm nợ gốc, nợ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ãi, lãi ph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ạt chậm trả (nếu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ó), chi phí hu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ỷ khoản vay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l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í, chi phí như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đề cập tại Thư bảo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 ký ngày…cho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vay số …ng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ày…gi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và…. trong đó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tiền gốc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(B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chữ: …),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 và cho nghĩa v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trả nợ (gốc,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ãi, lãi ch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ậm trả) của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ối với Quỹ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ích lũy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nợ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át sinh theo khoản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vay được Ch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ãnh.</w:t>
      </w:r>
    </w:p>
    <w:p w:rsidR="00F5535A" w:rsidRPr="00CC53A0" w:rsidRDefault="004A53BF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3. QUYỀN V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À NGHĨA V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Ụ CỦA C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ÁC BÊN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3.1 Quy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ền của B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ên A: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giao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các 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theo quy định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theo 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(n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ó);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thông báo k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ịp thời tiến độ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ình thành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ản; sự thay đổi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cung cấp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tin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thực trạng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chấp. Được xem x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ét, ki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ểm tra trực tiếp theo định kỳ hoặc kiểm tra đột xuất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khi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 hình thành; 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thay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bằng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khi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còn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do khấu hao hoặc hao m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òn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nhi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(n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 ho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kỳ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do nào khác.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bi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ện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thiết để bảo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hoặc thế chấp bằng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n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bị mất, hư hỏng,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nguy cơ m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hoặc giảm s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út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ị. Nếu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không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Bên A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bi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ện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thực thiện nghĩa vụ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Trong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cần thiết, y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ho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 ba giữ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 giao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cho Bên A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xử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trong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đến hạn thực hiện nghĩa vụ m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Bên B không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hoặc thực hiện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đúng nghĩa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ụ;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X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nghĩa vụ theo quy định tại Điều 4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ày;</w:t>
      </w:r>
    </w:p>
    <w:p w:rsidR="00F5535A" w:rsidRPr="004A53BF" w:rsidRDefault="00F5535A" w:rsidP="004A53BF">
      <w:pPr>
        <w:pStyle w:val="ListParagraph"/>
        <w:numPr>
          <w:ilvl w:val="0"/>
          <w:numId w:val="1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quy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3.2. Nghĩa v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ụ của B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ên A:</w:t>
      </w:r>
    </w:p>
    <w:p w:rsidR="00F5535A" w:rsidRPr="004A53BF" w:rsidRDefault="00F5535A" w:rsidP="004A53BF">
      <w:pPr>
        <w:pStyle w:val="ListParagraph"/>
        <w:numPr>
          <w:ilvl w:val="0"/>
          <w:numId w:val="15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quản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bồi thường thiệt hại cho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n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àm m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ất, hỏng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</w:t>
      </w:r>
    </w:p>
    <w:p w:rsidR="00F5535A" w:rsidRPr="004A53BF" w:rsidRDefault="00F5535A" w:rsidP="004A53BF">
      <w:pPr>
        <w:pStyle w:val="ListParagraph"/>
        <w:numPr>
          <w:ilvl w:val="0"/>
          <w:numId w:val="15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lại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 tương 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ứng với số nợ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đã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ả, nếu việc giải chấp một phần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 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ảnh hưởng đến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ất,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năng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ban đầu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của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òn l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ại.</w:t>
      </w:r>
    </w:p>
    <w:p w:rsidR="00F5535A" w:rsidRPr="004A53BF" w:rsidRDefault="00F5535A" w:rsidP="004A53BF">
      <w:pPr>
        <w:pStyle w:val="ListParagraph"/>
        <w:numPr>
          <w:ilvl w:val="0"/>
          <w:numId w:val="15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lại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hoàn thành nghĩa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được bảo đảm hoặc thay thế bằng biện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đảm tiền vay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ác.</w:t>
      </w:r>
    </w:p>
    <w:p w:rsidR="00F5535A" w:rsidRPr="004A53BF" w:rsidRDefault="00F5535A" w:rsidP="004A53BF">
      <w:pPr>
        <w:pStyle w:val="ListParagraph"/>
        <w:numPr>
          <w:ilvl w:val="0"/>
          <w:numId w:val="15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nghĩa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3.3. Quy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ền của B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ên B: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Khai thác công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ụng, hưởng hoa lợi, lợi tức từ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đầu tư để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àm tăng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của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tăng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êm cũng thu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ộc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khoản 1.4, Điều 1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ồi thường thiệt hại nếu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bị mất, hư hỏng;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Trong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được sự đồng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văn bản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A,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án, chuy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ển nhượng một phần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hàng hóa luân chuy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ển trong qu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trình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xuất kinh doanh với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tương ứng (theo tỷ lệ so với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TSBĐ) với số tiền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nghĩa vụ, nếu việc giải chấp một phần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 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ảnh hưởng đến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ất,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năng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ban đầu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của phần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òn l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ại;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Nh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lại giấy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 khi hoàn thành nghĩa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được bảo đảm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Điều 2 của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ho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thay thế bằng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trên cơ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 chấp thuận bằng văn bản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A.</w:t>
      </w:r>
    </w:p>
    <w:p w:rsidR="00F5535A" w:rsidRPr="004A53BF" w:rsidRDefault="00F5535A" w:rsidP="004A53BF">
      <w:pPr>
        <w:pStyle w:val="ListParagraph"/>
        <w:numPr>
          <w:ilvl w:val="0"/>
          <w:numId w:val="16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bổ sung, thay thế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bằng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có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tương đương nếu được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cho phép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văn bản.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3.4. Nghĩa v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ụ của B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ên B: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Báo cáo k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ịp thời cho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ti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độ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ình thành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thay đổi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gửi đồng thời cho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báo cáo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ổng hợp kết quả kiểm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cuối kỳ kế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năm,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khi lập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áo cáo tài chính;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Giao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các gi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tờ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ình thành trong tương lai cho Bên A khi ký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thế chấp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Thông báo cho Bên A và trên cơ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ki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chấp thuận bằng văn bản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quyền của người thứ ba đối với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ó). Trong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thông báo thì Bên A có quy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y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ồi thường thiệt hại hoặc duy tr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nhận quyền của người thứ ba đối với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nếu (c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ác) bên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 ba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xác nh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đồng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việc thế chấp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theo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ứng, chứng thực hợp đồng thế chấp, đăng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ý/xóa đăng ký giao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bảo đảm theo quy định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hoặc theo y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A;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ịu tr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ách nhi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ệm thanh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chi phí công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ứng, chứng thực, đăng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ý, xóa đăng ký giao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bảo đảm;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Thanh toán m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ọi chi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 phát sinh liên quan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nghi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ệp vụ về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trong suốt qu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trình đăng ký giao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bảo đảm, thế chấp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x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Không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án, trao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ổi, tặng cho, cho thu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ê, cho mư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ợn, g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óp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ốn li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doanh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đang thế chấp,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thay đổi mục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ích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trừ trường hợp được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thuận bằng văn bản. Trong trường hợp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tiền thu được hoặc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ình thành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số tiền thu được trở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ành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thay thế cho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 bán;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nhận sự kiểm tra theo định kỳ hoặc kiểm tra đột xuất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trong quá trình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quản, sử dụng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ản;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Mua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hiểm vật chất đối với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trong thời gian đảm bảo nghĩa vụ (theo quy định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theo yêu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A) và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bảo hiểm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rõ ngư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thụ hưởng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Bên A;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đã mua b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hiểm cho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khoản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tiền bảo hiểm cũng thuộc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chấp. Quyền thụ hưởng tiền bảo hiểm theo Hợp đồng bảo hiểm thuộc về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A. Bên B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ảm bảo rằng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ghi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trong các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bảo hiểm sau thời điểm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k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Hợp đồng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tư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ách là bên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hưởng bảo hiểm đầu ti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ên.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hạn bảo hiểm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 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ít hơn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hạn thế chấp. Mức bảo hiểm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hơn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trường của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ùng lo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tại thời điểm k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k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hợp đồng bảo hiểm. Tiền bảo hiểm được thụ hưởng được sử dụng để thu nợ (kể cả trước hạn) của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trường hợp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bên có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ác.</w:t>
      </w:r>
    </w:p>
    <w:p w:rsidR="00F5535A" w:rsidRPr="004A53BF" w:rsidRDefault="00F5535A" w:rsidP="004A53BF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xem xét chuy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ển tiền bảo hiểm cho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hư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ởng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dụng khi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ảm bảo thực hiện đầy đủ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đúng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ạn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nghĩa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át sinh theo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vay được Ch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ãnh và các 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có liên quan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khoản vay được Ch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ãnh đã ký v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thời điểm nhận tiền bảo hiểm:</w:t>
      </w:r>
    </w:p>
    <w:p w:rsidR="00F5535A" w:rsidRPr="001E0B81" w:rsidRDefault="00F5535A" w:rsidP="001E0B81">
      <w:pPr>
        <w:pStyle w:val="ListParagraph"/>
        <w:numPr>
          <w:ilvl w:val="0"/>
          <w:numId w:val="22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Trong giai đo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ạn x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ây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ựng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giá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tiền bảo hiểm được nhận dưới 5%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trình, Bên A chuy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ển trả tiền bảo hiểm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khắc phục hậu quả;</w:t>
      </w:r>
    </w:p>
    <w:p w:rsidR="00F5535A" w:rsidRPr="001E0B81" w:rsidRDefault="00F5535A" w:rsidP="001E0B81">
      <w:pPr>
        <w:pStyle w:val="ListParagraph"/>
        <w:numPr>
          <w:ilvl w:val="0"/>
          <w:numId w:val="22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Khi đã hoàn thành giai đo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ạn x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ây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ựng,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chuy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ển một phần tiền bảo hiểm nhận được từ cơ quan bảo hiểm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khắc phục sự cố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ùy theo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ừng trường hợp cụ thể nhưng tối thiểu phải giữ lại số tiền bảo hiểm bằng nghĩa vụ của một kỳ trả nợ kế tiếp.</w:t>
      </w:r>
    </w:p>
    <w:p w:rsidR="00F5535A" w:rsidRPr="004A53BF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bảo quản an to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àn, áp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bi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ện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c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thiết kể cả phải ngừng việc khai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công d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ụng của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nếu việc tiếp tục khai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có nguy cơ làm m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hoặc giảm s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út giá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nếu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àm m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ất, hư hỏng th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ì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sửa chữa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ôi 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ục gi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 tr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ị, bổ sung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chấp, thay thế bằng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ác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ch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nhận hoặc thực hiện nghĩa vụ trước hạn cho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A;</w:t>
      </w:r>
    </w:p>
    <w:p w:rsidR="00F5535A" w:rsidRPr="004A53BF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ối hợp với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ti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ành các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tục nhận tiền bảo hiểm từ tổ chức bảo hiểm để thực hiện nghĩa vụ đối với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trong 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mất, hư hỏng m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đã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bảo hiểm; việc sử dụng tiền bảo hiểm được thực hiện theo nguy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ắc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êu 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khoản 3.4.8 Điều n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4A53BF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ối hợp với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A x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v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 thanh toán các chi phí liên quan đ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việc xử l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(nếu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phát sinh).</w:t>
      </w:r>
    </w:p>
    <w:p w:rsidR="00F5535A" w:rsidRPr="004A53BF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4A53BF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c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B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ên B đư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tạm giữ giấy tờ t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theo quy định của ph</w:t>
      </w:r>
      <w:r w:rsidRPr="004A53BF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4A53BF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:</w:t>
      </w:r>
    </w:p>
    <w:p w:rsidR="00F5535A" w:rsidRPr="001E0B81" w:rsidRDefault="00F5535A" w:rsidP="001E0B81">
      <w:pPr>
        <w:pStyle w:val="ListParagraph"/>
        <w:numPr>
          <w:ilvl w:val="0"/>
          <w:numId w:val="21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bảo quản an to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àn gi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tờ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ản; nếu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àm m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ất, hư hỏng,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bổ sung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thay thế bằng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đư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nhận;</w:t>
      </w:r>
    </w:p>
    <w:p w:rsidR="00F5535A" w:rsidRPr="001E0B81" w:rsidRDefault="00F5535A" w:rsidP="001E0B81">
      <w:pPr>
        <w:pStyle w:val="ListParagraph"/>
        <w:numPr>
          <w:ilvl w:val="0"/>
          <w:numId w:val="21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Giao l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giấy tờ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khi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có yêu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ầu.</w:t>
      </w:r>
    </w:p>
    <w:p w:rsidR="00F5535A" w:rsidRPr="001E0B81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 thi hành án,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cả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chi phí phát sinh khác, bao g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ồm cả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sư trong trường hợp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kh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ởi kiện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thu hồi nợ.</w:t>
      </w:r>
    </w:p>
    <w:p w:rsidR="00F5535A" w:rsidRPr="001E0B81" w:rsidRDefault="00F5535A" w:rsidP="001E0B81">
      <w:pPr>
        <w:pStyle w:val="ListParagraph"/>
        <w:numPr>
          <w:ilvl w:val="0"/>
          <w:numId w:val="1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nghĩa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1E0B81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4. XỬ L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Ý TÀI S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ẢN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4.1. Bên A đư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ợc quyền xử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ý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trong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trư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ờng hợp sau: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hạn thực hiện nghĩa vụ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Bên B không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hoặc thực hiện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đúng, không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nghĩa vụ trả nợ theo quy định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X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trong trường hợp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theo quy định tại Điều 57 của Nghị định số</w:t>
      </w:r>
      <w:r w:rsidR="009E70E7" w:rsidRPr="001E0B81">
        <w:rPr>
          <w:rFonts w:ascii="Times New Roman" w:eastAsia="Times New Roman" w:hAnsi="Times New Roman"/>
          <w:color w:val="000000"/>
          <w:sz w:val="26"/>
          <w:szCs w:val="26"/>
        </w:rPr>
        <w:t xml:space="preserve"> 163/2006/NĐ-CP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 ng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29/12/2006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về giao dịch bảo đảm.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kỳ cơ quan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nư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ẩm quyền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ào trưng thu, qu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ốc hữu 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óa,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trưng dụng dưới 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ình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toàn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 hoặc một phần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áng k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B; ti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ành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ầm giữ hoặc kiểm so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át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hoạt động kinh doanh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B;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bất kỳ 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ành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ào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ằm giải thể hay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phù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với quy định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về giải thể,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doanh nghiệp.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kỳ quy định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ào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li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giao dịch hoặc hồ sơ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lý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là vô hi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hoặc bất hợp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bị bất kỳ cơ quan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nư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ẩm quyền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ào,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òa án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kỳ tuy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vô giá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ị;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 hi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hoặc bất hợp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toàn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 hay một phần.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Tòa án,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ọng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trong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ngo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nư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tuy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m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ột bản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án, đưa ra phán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chống lại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mà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quyết định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theo ý ki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dẫn đến thay đổi bất lợi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áng k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ể,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 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ảnh hưởng đến khả năng trả nợ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ối với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 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ảnh hưởng tới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Bên B đã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chấp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A.</w:t>
      </w:r>
    </w:p>
    <w:p w:rsidR="00F5535A" w:rsidRPr="001E0B81" w:rsidRDefault="00F5535A" w:rsidP="001E0B81">
      <w:pPr>
        <w:pStyle w:val="ListParagraph"/>
        <w:numPr>
          <w:ilvl w:val="0"/>
          <w:numId w:val="23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trư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4.2. Phương th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ức xử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ý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</w:t>
      </w:r>
    </w:p>
    <w:p w:rsidR="00F5535A" w:rsidRPr="001E0B81" w:rsidRDefault="00F5535A" w:rsidP="001E0B81">
      <w:pPr>
        <w:pStyle w:val="ListParagraph"/>
        <w:numPr>
          <w:ilvl w:val="0"/>
          <w:numId w:val="2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Trong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hạn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quá 30 ngày, k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từ ng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được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báo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A, Bên B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chủ động phối hợp với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x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thực hiện nghĩa vụ; Qu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hạn tr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ên, Bên A có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không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ki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B.</w:t>
      </w:r>
    </w:p>
    <w:p w:rsidR="00F5535A" w:rsidRPr="001E0B81" w:rsidRDefault="00F5535A" w:rsidP="001E0B81">
      <w:pPr>
        <w:pStyle w:val="ListParagraph"/>
        <w:numPr>
          <w:ilvl w:val="0"/>
          <w:numId w:val="2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àn giao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theo thông báo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A; n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hết thời hạn ấn định trong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báo mà Bên B không giao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 Bên A có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thu giữ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ý; Bên B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chịu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chi phí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ý,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thiết cho việc thu giữ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trong trường hợp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giao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hành vi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trở việc thu giữ hợp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gây thi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ệt hại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thì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bồi thường.</w:t>
      </w:r>
    </w:p>
    <w:p w:rsidR="00F5535A" w:rsidRPr="001E0B81" w:rsidRDefault="00F5535A" w:rsidP="001E0B81">
      <w:pPr>
        <w:pStyle w:val="ListParagraph"/>
        <w:numPr>
          <w:ilvl w:val="0"/>
          <w:numId w:val="24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có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lựa chọn một trong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phương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sau để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chấp:</w:t>
      </w:r>
    </w:p>
    <w:p w:rsidR="00F5535A" w:rsidRPr="001E0B81" w:rsidRDefault="00F5535A" w:rsidP="001E0B81">
      <w:pPr>
        <w:pStyle w:val="ListParagraph"/>
        <w:numPr>
          <w:ilvl w:val="0"/>
          <w:numId w:val="25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</w:t>
      </w:r>
    </w:p>
    <w:p w:rsidR="00F5535A" w:rsidRPr="001E0B81" w:rsidRDefault="00F5535A" w:rsidP="001E0B81">
      <w:pPr>
        <w:pStyle w:val="ListParagraph"/>
        <w:numPr>
          <w:ilvl w:val="0"/>
          <w:numId w:val="25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để thay thế cho việc thực hiện nghĩa vụ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B;</w:t>
      </w:r>
    </w:p>
    <w:p w:rsidR="00F5535A" w:rsidRPr="001E0B81" w:rsidRDefault="00F5535A" w:rsidP="001E0B81">
      <w:pPr>
        <w:pStyle w:val="ListParagraph"/>
        <w:numPr>
          <w:ilvl w:val="0"/>
          <w:numId w:val="25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Phương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theo quy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4.3. Bán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thế chấp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động quyết định phương thức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chấp,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ối hợp với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bán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trực tiếp cho người mua hoặc ủy quyền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 ba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cho người mua.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 ba được ủy quyền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Trung tâm bán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ấu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hoặc doanh nghiệp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ấu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tổ chức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năng được mua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án. N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tiếp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áo trư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địa điểm, thời gian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ít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7 ng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tham gia (tr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trường hợp đối với những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pháp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quy định người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ngay).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vắng mặt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không 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ảnh hưởng đến việc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cam đoan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ạo mọi điều kiện thuận lợi,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làm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cứ điều g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 gây khó khăn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 ngại đến việc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phối hợp với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ản.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 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ủy quyền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l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ập, k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tên trên các gi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tờ li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quan;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ền, nghĩa vụ li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quan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vi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có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với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kh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ởi điểm do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x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hoặc thu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ổ chức,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nhân khác xác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có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quyết định giảm từ 5%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bán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so với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bán l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trước liền kề, sau mỗi lần thực hiện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thành công.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ờng hợp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bảo đảm cho nghĩa vụ bao gồm nhiều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ồng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đư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lựa chọn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cụ thể để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ý,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ảm bảo thực hiện đầy đủ nghĩa vụ,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ù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với quy định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ố tiền thu được từ việc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sau khi trừ đi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chi phí cho vi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sẽ d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ùng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thanh to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các nghĩa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cho Bên A theo các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 tự sau: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toàn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 dư nợ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òn l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của khoản vay được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ãnh;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khoản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nợ m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Bên B vay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Quỹ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ích lũy tr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nợ để trả nợ đối với khoản vay được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ãnh;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n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 ng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ân sách nhà nư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hoặc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qu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ỹ do Bộ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chính qu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liên quan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ến việc ứng vốn trả nợ khoản vay được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ãnh;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phí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ảo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ãnh có liên quan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ới khoản vay;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phí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vụ thực hiện nghiệp vụ về giao dịch bảo đảm cho Tổ chức dịch vụ (nếu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ó).</w:t>
      </w:r>
    </w:p>
    <w:p w:rsidR="00F5535A" w:rsidRPr="001E0B81" w:rsidRDefault="00F5535A" w:rsidP="001E0B81">
      <w:pPr>
        <w:pStyle w:val="ListParagraph"/>
        <w:numPr>
          <w:ilvl w:val="0"/>
          <w:numId w:val="28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òn dư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trả lại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nhượng,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giao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chấp; nếu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òn thi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ì Bên B ho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nhượng,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giao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chấp, khoản vay được Ch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ính ph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bảo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ãnh có trách nhi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ệm tiếp tục thực hiện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úng nghĩa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òn l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đối với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A.</w:t>
      </w:r>
    </w:p>
    <w:p w:rsidR="00F5535A" w:rsidRPr="001E0B81" w:rsidRDefault="00F5535A" w:rsidP="001E0B81">
      <w:pPr>
        <w:pStyle w:val="ListParagraph"/>
        <w:numPr>
          <w:ilvl w:val="0"/>
          <w:numId w:val="27"/>
        </w:numPr>
        <w:shd w:val="clear" w:color="auto" w:fill="FFFFFF"/>
        <w:spacing w:after="120" w:line="234" w:lineRule="atLeast"/>
        <w:ind w:left="284" w:hanging="28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Hợp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 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ủy quyền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ỉ định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ủy ngang cho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làm ngư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ời đại diện theo ủy quyền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quy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ền, nghĩa vụ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và ký k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bất kỳ văn kiện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ào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ần thiết trong trường hợp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phải qua đấu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Trung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âm bán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ấu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hoặc doanh nghiệp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ấu gi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ản, tổ chức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năng mua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để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án.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4.4. M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ọi vấn đề kh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có liên quan đ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ến xử l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ý tài s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ản thế chấp được thực hiện theo qui định của ph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áp luật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.</w:t>
      </w:r>
    </w:p>
    <w:p w:rsidR="00F5535A" w:rsidRPr="00CC53A0" w:rsidRDefault="001E0B81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5. GIẢI QUYẾT TRANH CHẤP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Trong quá trình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Hợp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át sinh tranh ch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ấp,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 cùng nhau thương lư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ợng giải quyết tr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nguyên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ắc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ọng quyền lợi của nhau; trong trường hợp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ông gi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ải quyết được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ì m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ột trong hai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có quy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khởi kiện ra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òa án nơi Bên A đóng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ụ sở hoặc trọng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y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êu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giải quyết theo quy định của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 Quyết định của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òa án,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ọng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có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lực bắt buộc đối với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 theo quy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ịnh của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1E0B81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6. C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ÁC TH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ỎA THUẬN KH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ÁC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6.1. Chuy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ển nhượng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có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lực bắt buộc đối với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 k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nhiệm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bên nh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nhượng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bên nh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ận chuyển giao được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ép tương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ứng của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 trong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và các bên k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 nhiệm, nhận chuyển nhượng, chuyển giao được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ép đó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hưởng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l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ợi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ích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ày. Bên B không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chuyển nhượng hoặc chuyển giao bất kỳ quyền hoặc nghĩa vụ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ào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ho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ài li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giao dịch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 khi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đồng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ý trư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bằng văn bản của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A.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6.2. Không t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ừ bỏ quyền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Vi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A không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hoặc chậm thực hiện bất kỳ quyền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ào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ông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xem l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từ bỏ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quy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đ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ó. Vi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thực hiện ri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êng 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hoặc một phần bất kỳ quyền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ào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ông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trở việc thực hiện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quy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ền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theo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6.3. Hi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ệu lực từng phần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cả điều khoản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ừng phần của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điều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khoản của Hợp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lực ri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êng 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đ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ộc lập với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điều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khoản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ác. N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ếu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ất kỳ điều khoản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ệu, bất hợp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ho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ặc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ông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thi 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 theo pháp luật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Việt Nam,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ì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lực, t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ính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và kh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 năng thi 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 các điều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khoản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òn l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của Hợp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s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ẽ kh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ông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ảnh hưởng dưới bất kỳ 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ình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ức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ào. 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(Nh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ững thỏa thuận kh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ác ngoài th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ỏa thuận đ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ã nêu t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ại Hợp đồng n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ày nh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ằm đảm bảo lợi 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ích 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ợp ph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áp c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ủa B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ên A và tùy th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  <w:lang w:val="vi-VN"/>
        </w:rPr>
        <w:t>ỏa thuận của hai B</w:t>
      </w:r>
      <w:r w:rsidRPr="00CC53A0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ên…).</w:t>
      </w:r>
    </w:p>
    <w:p w:rsidR="00F5535A" w:rsidRPr="00CC53A0" w:rsidRDefault="001E0B81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7. CAM ĐOAN CỦA C</w:t>
      </w: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ÁC BÊN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A và Bên B ch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ịu tr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ách nhi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ệm trước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 về những cam đoan sau đ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ây: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7.1. Bên A cam đoan:</w:t>
      </w:r>
    </w:p>
    <w:p w:rsidR="00F5535A" w:rsidRPr="001E0B81" w:rsidRDefault="00F5535A" w:rsidP="001E0B81">
      <w:pPr>
        <w:pStyle w:val="ListParagraph"/>
        <w:numPr>
          <w:ilvl w:val="0"/>
          <w:numId w:val="30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tin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tổ chức,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nhân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đã ghi trong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là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thẩm quyền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đúng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thật.</w:t>
      </w:r>
    </w:p>
    <w:p w:rsidR="00F5535A" w:rsidRPr="001E0B81" w:rsidRDefault="00F5535A" w:rsidP="001E0B81">
      <w:pPr>
        <w:pStyle w:val="ListParagraph"/>
        <w:numPr>
          <w:ilvl w:val="0"/>
          <w:numId w:val="30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Vi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giao kết Hợp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hoàn toàn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nguyện,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ép bu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ộc.</w:t>
      </w:r>
    </w:p>
    <w:p w:rsidR="00F5535A" w:rsidRPr="001E0B81" w:rsidRDefault="00F5535A" w:rsidP="001E0B81">
      <w:pPr>
        <w:pStyle w:val="ListParagraph"/>
        <w:numPr>
          <w:ilvl w:val="0"/>
          <w:numId w:val="30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úng và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ầy đủ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 ghi trong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7.2. Bên B cam đoan:</w:t>
      </w:r>
    </w:p>
    <w:p w:rsidR="00F5535A" w:rsidRPr="001E0B81" w:rsidRDefault="00F5535A" w:rsidP="001E0B81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Nh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ững th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tin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tổ chức,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 nhân, v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ề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gi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ấy tờ chứng minh quyền sở hữu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B đã ghi trong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là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 thẩm quyền, hợp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áp,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lệ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đúng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thật.</w:t>
      </w:r>
    </w:p>
    <w:p w:rsidR="001E0B81" w:rsidRPr="001E0B81" w:rsidRDefault="00F5535A" w:rsidP="00CC53A0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thuộc trường hợp được thế chấp t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theo quy định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1E0B81" w:rsidRDefault="00F5535A" w:rsidP="00CC53A0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ại thời điểm giao kết Hợp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ày:</w:t>
      </w:r>
    </w:p>
    <w:p w:rsidR="00F5535A" w:rsidRPr="001E0B81" w:rsidRDefault="00F5535A" w:rsidP="001E0B81">
      <w:pPr>
        <w:pStyle w:val="ListParagraph"/>
        <w:numPr>
          <w:ilvl w:val="0"/>
          <w:numId w:val="32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thuộc sở hữu hợp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áp, đư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ép giao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không có tranh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ấp.</w:t>
      </w:r>
    </w:p>
    <w:p w:rsidR="00F5535A" w:rsidRPr="001E0B81" w:rsidRDefault="00F5535A" w:rsidP="001E0B81">
      <w:pPr>
        <w:pStyle w:val="ListParagraph"/>
        <w:numPr>
          <w:ilvl w:val="0"/>
          <w:numId w:val="32"/>
        </w:num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k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 biên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bảo đảm thi 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ành án.</w:t>
      </w:r>
    </w:p>
    <w:p w:rsidR="00F5535A" w:rsidRPr="001E0B81" w:rsidRDefault="00F5535A" w:rsidP="001E0B81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Vi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ệc giao kết Hợp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hoàn toàn 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 nguyện,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lừa dối, kh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ông b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 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ép bu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ộc.</w:t>
      </w:r>
    </w:p>
    <w:p w:rsidR="00F5535A" w:rsidRPr="001E0B81" w:rsidRDefault="00F5535A" w:rsidP="001E0B81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ực hiện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úng và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ầy đủ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ác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ã ghi trong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ày.</w:t>
      </w:r>
    </w:p>
    <w:p w:rsidR="00F5535A" w:rsidRPr="001E0B81" w:rsidRDefault="00F5535A" w:rsidP="001E0B81">
      <w:pPr>
        <w:pStyle w:val="ListParagraph"/>
        <w:numPr>
          <w:ilvl w:val="0"/>
          <w:numId w:val="31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Cam k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ết sửa đổi Hợp đồng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 theo yêu c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của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phù 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theo quy định của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  <w:r w:rsidR="008D6E74" w:rsidRPr="001E0B8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C72F3A" w:rsidRPr="001E0B81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:rsidR="00F5535A" w:rsidRPr="00CC53A0" w:rsidRDefault="001E0B81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color w:val="000000"/>
          <w:sz w:val="26"/>
          <w:szCs w:val="26"/>
          <w:lang w:val="en"/>
        </w:rPr>
        <w:t>ĐIỀU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val="vi-VN"/>
        </w:rPr>
        <w:t> 8. HIỆU LỰC CỦA HỢP ĐỒNG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8.1. 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có hi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ệu lực kể từ ng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ký. M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ọi sửa đổi, bổ sung phải được sự đồng 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ý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ủa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ác bên trong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v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lập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 văn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8.2.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ày h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ết hiệu lực trong c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</w:rPr>
        <w:t>ác trư</w:t>
      </w: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vi-VN"/>
        </w:rPr>
        <w:t>ờng hợp sau:</w:t>
      </w:r>
    </w:p>
    <w:p w:rsidR="00F5535A" w:rsidRPr="001E0B81" w:rsidRDefault="00F5535A" w:rsidP="001E0B81">
      <w:pPr>
        <w:pStyle w:val="ListParagraph"/>
        <w:numPr>
          <w:ilvl w:val="0"/>
          <w:numId w:val="34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Bên B đã hoàn thành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ầy đủ nghĩa vụ được bảo đảm của Hợp đồng thế chấp n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ày, đư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B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ên A ch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ấp nhận x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óa đăng ký giao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bảo đảm v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à cơ quan nhà nư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ớc c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ẩm quyền thực hiện x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óa đăng ký giao d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ịch bảo đảm theo quy định;</w:t>
      </w:r>
    </w:p>
    <w:p w:rsidR="00F5535A" w:rsidRPr="001E0B81" w:rsidRDefault="00F5535A" w:rsidP="001E0B81">
      <w:pPr>
        <w:pStyle w:val="ListParagraph"/>
        <w:numPr>
          <w:ilvl w:val="0"/>
          <w:numId w:val="34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Các bên th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ỏa thuận đảm bảo nghĩa vụ bằng biện ph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áp khác;</w:t>
      </w:r>
    </w:p>
    <w:p w:rsidR="00F5535A" w:rsidRPr="001E0B81" w:rsidRDefault="00F5535A" w:rsidP="001E0B81">
      <w:pPr>
        <w:pStyle w:val="ListParagraph"/>
        <w:numPr>
          <w:ilvl w:val="0"/>
          <w:numId w:val="34"/>
        </w:numPr>
        <w:shd w:val="clear" w:color="auto" w:fill="FFFFFF"/>
        <w:spacing w:after="120" w:line="234" w:lineRule="atLeast"/>
        <w:ind w:left="426" w:hanging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1E0B81">
        <w:rPr>
          <w:rFonts w:ascii="Times New Roman" w:eastAsia="Times New Roman" w:hAnsi="Times New Roman"/>
          <w:color w:val="000000"/>
          <w:sz w:val="26"/>
          <w:szCs w:val="26"/>
          <w:lang w:val="en"/>
        </w:rPr>
        <w:t>Tài s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thế chấp đ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ó đư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xử l</w:t>
      </w:r>
      <w:r w:rsidRPr="001E0B81">
        <w:rPr>
          <w:rFonts w:ascii="Times New Roman" w:eastAsia="Times New Roman" w:hAnsi="Times New Roman"/>
          <w:color w:val="000000"/>
          <w:sz w:val="26"/>
          <w:szCs w:val="26"/>
        </w:rPr>
        <w:t>ý đ</w:t>
      </w:r>
      <w:r w:rsidRPr="001E0B81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thực hiện nghĩa vụ.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8.3.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 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gồm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….. trang, đư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ợc lập th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ành 02 (hai)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ản gốc c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ó giá tr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ị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lý như nhau, Bên A gi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 01 (một) bản gốc,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 gi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ữa 01 (một) bản gốc.</w:t>
      </w:r>
    </w:p>
    <w:p w:rsidR="00F5535A" w:rsidRPr="00CC53A0" w:rsidRDefault="00F5535A" w:rsidP="00CC53A0">
      <w:pPr>
        <w:shd w:val="clear" w:color="auto" w:fill="FFFFFF"/>
        <w:spacing w:after="120" w:line="234" w:lineRule="atLeast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b/>
          <w:bCs/>
          <w:i/>
          <w:iCs/>
          <w:color w:val="000000"/>
          <w:sz w:val="26"/>
          <w:szCs w:val="26"/>
          <w:lang w:val="en"/>
        </w:rPr>
        <w:t>8.4. 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en"/>
        </w:rPr>
        <w:t>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đồng n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ày có th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ể được sửa đổi theo y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êu c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ầu của hai B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ên B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ằng văn bản,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ù h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ợp với quy định của ph</w:t>
      </w: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áp luật</w:t>
      </w:r>
      <w:r w:rsidRPr="00CC53A0">
        <w:rPr>
          <w:rFonts w:ascii="Times New Roman" w:eastAsia="Times New Roman" w:hAnsi="Times New Roman"/>
          <w:color w:val="000000"/>
          <w:sz w:val="26"/>
          <w:szCs w:val="26"/>
          <w:lang w:val="vi-VN"/>
        </w:rPr>
        <w:t>.</w:t>
      </w:r>
    </w:p>
    <w:p w:rsidR="00F5535A" w:rsidRPr="00CC53A0" w:rsidRDefault="00F5535A" w:rsidP="00F5535A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F5535A" w:rsidRPr="00CC53A0" w:rsidTr="00F5535A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"/>
              </w:rPr>
              <w:t>Đ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ẠI DIỆN B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ÊN A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Đ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ẠI DIỆN B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ÊN B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CÁC Đ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ỒNG SỞ HỮU</w:t>
            </w:r>
          </w:p>
          <w:p w:rsidR="00F5535A" w:rsidRPr="00CC53A0" w:rsidRDefault="00F5535A" w:rsidP="00F5535A">
            <w:pPr>
              <w:spacing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"/>
              </w:rPr>
              <w:t>(n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ếu c</w:t>
            </w:r>
            <w:r w:rsidRPr="00CC53A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ó)</w:t>
            </w:r>
          </w:p>
        </w:tc>
      </w:tr>
      <w:tr w:rsidR="00F5535A" w:rsidRPr="00CC53A0" w:rsidTr="00F5535A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"/>
              </w:rPr>
              <w:t>(Ký, ghi đ</w:t>
            </w: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ầy đủ họ, t</w:t>
            </w: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ên và đóng d</w:t>
            </w: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ấu)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35A" w:rsidRPr="00CC53A0" w:rsidRDefault="00F5535A" w:rsidP="00F5535A">
            <w:pPr>
              <w:spacing w:after="120" w:line="234" w:lineRule="atLeas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C53A0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F5535A" w:rsidRPr="00CC53A0" w:rsidRDefault="00F5535A" w:rsidP="00F5535A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  <w:r w:rsidRPr="00CC53A0">
        <w:rPr>
          <w:rFonts w:ascii="Times New Roman" w:eastAsia="Times New Roman" w:hAnsi="Times New Roman"/>
          <w:color w:val="000000"/>
          <w:sz w:val="26"/>
          <w:szCs w:val="26"/>
        </w:rPr>
        <w:t> </w:t>
      </w:r>
    </w:p>
    <w:p w:rsidR="00CC53A0" w:rsidRPr="00CC53A0" w:rsidRDefault="00CC53A0">
      <w:pPr>
        <w:shd w:val="clear" w:color="auto" w:fill="FFFFFF"/>
        <w:spacing w:after="120" w:line="234" w:lineRule="atLeast"/>
        <w:rPr>
          <w:rFonts w:ascii="Times New Roman" w:eastAsia="Times New Roman" w:hAnsi="Times New Roman"/>
          <w:color w:val="000000"/>
          <w:sz w:val="26"/>
          <w:szCs w:val="26"/>
        </w:rPr>
      </w:pPr>
    </w:p>
    <w:sectPr w:rsidR="00CC53A0" w:rsidRPr="00CC53A0" w:rsidSect="00966A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3BF" w:rsidRDefault="004A53BF" w:rsidP="00E417AB">
      <w:pPr>
        <w:spacing w:after="0" w:line="240" w:lineRule="auto"/>
      </w:pPr>
      <w:r>
        <w:separator/>
      </w:r>
    </w:p>
  </w:endnote>
  <w:endnote w:type="continuationSeparator" w:id="0">
    <w:p w:rsidR="004A53BF" w:rsidRDefault="004A53BF" w:rsidP="00E4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3BF" w:rsidRDefault="004A53BF" w:rsidP="00E417AB">
      <w:pPr>
        <w:spacing w:after="0" w:line="240" w:lineRule="auto"/>
      </w:pPr>
      <w:r>
        <w:separator/>
      </w:r>
    </w:p>
  </w:footnote>
  <w:footnote w:type="continuationSeparator" w:id="0">
    <w:p w:rsidR="004A53BF" w:rsidRDefault="004A53BF" w:rsidP="00E41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B7F"/>
    <w:multiLevelType w:val="hybridMultilevel"/>
    <w:tmpl w:val="84E6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2B95"/>
    <w:multiLevelType w:val="hybridMultilevel"/>
    <w:tmpl w:val="1F86B74A"/>
    <w:lvl w:ilvl="0" w:tplc="DE561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81010"/>
    <w:multiLevelType w:val="hybridMultilevel"/>
    <w:tmpl w:val="83C005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86ED2"/>
    <w:multiLevelType w:val="hybridMultilevel"/>
    <w:tmpl w:val="6A78DF72"/>
    <w:lvl w:ilvl="0" w:tplc="AE0EDCA0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87EBD"/>
    <w:multiLevelType w:val="hybridMultilevel"/>
    <w:tmpl w:val="FA60D5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305D"/>
    <w:multiLevelType w:val="hybridMultilevel"/>
    <w:tmpl w:val="4C3C0B34"/>
    <w:lvl w:ilvl="0" w:tplc="162E5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E7EC3"/>
    <w:multiLevelType w:val="hybridMultilevel"/>
    <w:tmpl w:val="D7E88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E0D4D"/>
    <w:multiLevelType w:val="hybridMultilevel"/>
    <w:tmpl w:val="0BBC97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1E08"/>
    <w:multiLevelType w:val="hybridMultilevel"/>
    <w:tmpl w:val="8934F4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1A4"/>
    <w:multiLevelType w:val="hybridMultilevel"/>
    <w:tmpl w:val="277062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0581"/>
    <w:multiLevelType w:val="hybridMultilevel"/>
    <w:tmpl w:val="AA6A0E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97213"/>
    <w:multiLevelType w:val="hybridMultilevel"/>
    <w:tmpl w:val="ACA6D8B8"/>
    <w:lvl w:ilvl="0" w:tplc="DD721A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79B7"/>
    <w:multiLevelType w:val="hybridMultilevel"/>
    <w:tmpl w:val="81A04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7043"/>
    <w:multiLevelType w:val="hybridMultilevel"/>
    <w:tmpl w:val="E4A8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B1969"/>
    <w:multiLevelType w:val="hybridMultilevel"/>
    <w:tmpl w:val="D994A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E104B"/>
    <w:multiLevelType w:val="hybridMultilevel"/>
    <w:tmpl w:val="9DE4D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E4C0B"/>
    <w:multiLevelType w:val="hybridMultilevel"/>
    <w:tmpl w:val="2292AF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E4C"/>
    <w:multiLevelType w:val="hybridMultilevel"/>
    <w:tmpl w:val="19841C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7401C"/>
    <w:multiLevelType w:val="hybridMultilevel"/>
    <w:tmpl w:val="50C4F9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A12CB"/>
    <w:multiLevelType w:val="hybridMultilevel"/>
    <w:tmpl w:val="512EE9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D5B07"/>
    <w:multiLevelType w:val="hybridMultilevel"/>
    <w:tmpl w:val="18888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E35B4"/>
    <w:multiLevelType w:val="hybridMultilevel"/>
    <w:tmpl w:val="7B6A2A88"/>
    <w:lvl w:ilvl="0" w:tplc="8820D6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862A3"/>
    <w:multiLevelType w:val="hybridMultilevel"/>
    <w:tmpl w:val="89003B82"/>
    <w:lvl w:ilvl="0" w:tplc="162E5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0AF6"/>
    <w:multiLevelType w:val="hybridMultilevel"/>
    <w:tmpl w:val="6644AC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575A9"/>
    <w:multiLevelType w:val="multilevel"/>
    <w:tmpl w:val="F29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61B71"/>
    <w:multiLevelType w:val="hybridMultilevel"/>
    <w:tmpl w:val="09C897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55188"/>
    <w:multiLevelType w:val="hybridMultilevel"/>
    <w:tmpl w:val="DA46601C"/>
    <w:lvl w:ilvl="0" w:tplc="72D6FF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333333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85B82"/>
    <w:multiLevelType w:val="hybridMultilevel"/>
    <w:tmpl w:val="CC74F9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B445B"/>
    <w:multiLevelType w:val="hybridMultilevel"/>
    <w:tmpl w:val="133E7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86E9A"/>
    <w:multiLevelType w:val="hybridMultilevel"/>
    <w:tmpl w:val="D6B6B1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5ED3121A"/>
    <w:multiLevelType w:val="hybridMultilevel"/>
    <w:tmpl w:val="75F013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5567"/>
    <w:multiLevelType w:val="hybridMultilevel"/>
    <w:tmpl w:val="D0B68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EA3FD4"/>
    <w:multiLevelType w:val="hybridMultilevel"/>
    <w:tmpl w:val="D7E88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12B03"/>
    <w:multiLevelType w:val="hybridMultilevel"/>
    <w:tmpl w:val="D3FE3388"/>
    <w:lvl w:ilvl="0" w:tplc="162E5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6"/>
  </w:num>
  <w:num w:numId="4">
    <w:abstractNumId w:val="15"/>
  </w:num>
  <w:num w:numId="5">
    <w:abstractNumId w:val="29"/>
  </w:num>
  <w:num w:numId="6">
    <w:abstractNumId w:val="11"/>
  </w:num>
  <w:num w:numId="7">
    <w:abstractNumId w:val="21"/>
  </w:num>
  <w:num w:numId="8">
    <w:abstractNumId w:val="2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22"/>
  </w:num>
  <w:num w:numId="14">
    <w:abstractNumId w:val="14"/>
  </w:num>
  <w:num w:numId="15">
    <w:abstractNumId w:val="20"/>
  </w:num>
  <w:num w:numId="16">
    <w:abstractNumId w:val="12"/>
  </w:num>
  <w:num w:numId="17">
    <w:abstractNumId w:val="30"/>
  </w:num>
  <w:num w:numId="18">
    <w:abstractNumId w:val="32"/>
  </w:num>
  <w:num w:numId="19">
    <w:abstractNumId w:val="31"/>
  </w:num>
  <w:num w:numId="20">
    <w:abstractNumId w:val="2"/>
  </w:num>
  <w:num w:numId="21">
    <w:abstractNumId w:val="23"/>
  </w:num>
  <w:num w:numId="22">
    <w:abstractNumId w:val="7"/>
  </w:num>
  <w:num w:numId="23">
    <w:abstractNumId w:val="27"/>
  </w:num>
  <w:num w:numId="24">
    <w:abstractNumId w:val="19"/>
  </w:num>
  <w:num w:numId="25">
    <w:abstractNumId w:val="4"/>
  </w:num>
  <w:num w:numId="26">
    <w:abstractNumId w:val="33"/>
  </w:num>
  <w:num w:numId="27">
    <w:abstractNumId w:val="17"/>
  </w:num>
  <w:num w:numId="28">
    <w:abstractNumId w:val="9"/>
  </w:num>
  <w:num w:numId="29">
    <w:abstractNumId w:val="10"/>
  </w:num>
  <w:num w:numId="30">
    <w:abstractNumId w:val="16"/>
  </w:num>
  <w:num w:numId="31">
    <w:abstractNumId w:val="8"/>
  </w:num>
  <w:num w:numId="32">
    <w:abstractNumId w:val="18"/>
  </w:num>
  <w:num w:numId="33">
    <w:abstractNumId w:val="2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7D"/>
    <w:rsid w:val="000053B7"/>
    <w:rsid w:val="00011C3C"/>
    <w:rsid w:val="000175C5"/>
    <w:rsid w:val="000444A0"/>
    <w:rsid w:val="00052FF5"/>
    <w:rsid w:val="0007719B"/>
    <w:rsid w:val="000B2860"/>
    <w:rsid w:val="000D2D6E"/>
    <w:rsid w:val="0012590B"/>
    <w:rsid w:val="001B1BD0"/>
    <w:rsid w:val="001C0645"/>
    <w:rsid w:val="001C5F20"/>
    <w:rsid w:val="001E0B81"/>
    <w:rsid w:val="001E4A82"/>
    <w:rsid w:val="001F098C"/>
    <w:rsid w:val="002034A9"/>
    <w:rsid w:val="00211ABB"/>
    <w:rsid w:val="002159C4"/>
    <w:rsid w:val="002239C1"/>
    <w:rsid w:val="00237C99"/>
    <w:rsid w:val="002E0CAF"/>
    <w:rsid w:val="002F3489"/>
    <w:rsid w:val="002F745C"/>
    <w:rsid w:val="003276E6"/>
    <w:rsid w:val="00357C29"/>
    <w:rsid w:val="00365D61"/>
    <w:rsid w:val="003C08B6"/>
    <w:rsid w:val="003D1122"/>
    <w:rsid w:val="003F4E76"/>
    <w:rsid w:val="0040007A"/>
    <w:rsid w:val="00400FA8"/>
    <w:rsid w:val="00403CAF"/>
    <w:rsid w:val="00424BE5"/>
    <w:rsid w:val="00434917"/>
    <w:rsid w:val="00464DE2"/>
    <w:rsid w:val="004A2B01"/>
    <w:rsid w:val="004A3FBE"/>
    <w:rsid w:val="004A53BF"/>
    <w:rsid w:val="004B3F9C"/>
    <w:rsid w:val="004C0BB3"/>
    <w:rsid w:val="004C3AAD"/>
    <w:rsid w:val="004C53FB"/>
    <w:rsid w:val="004F5EC8"/>
    <w:rsid w:val="00501608"/>
    <w:rsid w:val="00562256"/>
    <w:rsid w:val="00574AF6"/>
    <w:rsid w:val="005805F7"/>
    <w:rsid w:val="005E0065"/>
    <w:rsid w:val="005E1A41"/>
    <w:rsid w:val="005F197E"/>
    <w:rsid w:val="006252EC"/>
    <w:rsid w:val="0064358A"/>
    <w:rsid w:val="006437E7"/>
    <w:rsid w:val="00651E2F"/>
    <w:rsid w:val="00673396"/>
    <w:rsid w:val="006A63DC"/>
    <w:rsid w:val="006F2C86"/>
    <w:rsid w:val="00714FAC"/>
    <w:rsid w:val="007655FD"/>
    <w:rsid w:val="00774D98"/>
    <w:rsid w:val="007A2E09"/>
    <w:rsid w:val="007F4F66"/>
    <w:rsid w:val="008204D5"/>
    <w:rsid w:val="00846548"/>
    <w:rsid w:val="00846D7D"/>
    <w:rsid w:val="0086168B"/>
    <w:rsid w:val="0086393E"/>
    <w:rsid w:val="00876284"/>
    <w:rsid w:val="008965EA"/>
    <w:rsid w:val="008A2A81"/>
    <w:rsid w:val="008D323C"/>
    <w:rsid w:val="008D53C3"/>
    <w:rsid w:val="008D6E74"/>
    <w:rsid w:val="008E5858"/>
    <w:rsid w:val="009429FC"/>
    <w:rsid w:val="00943468"/>
    <w:rsid w:val="00947088"/>
    <w:rsid w:val="00952FA7"/>
    <w:rsid w:val="00966A04"/>
    <w:rsid w:val="00972D4B"/>
    <w:rsid w:val="0099060F"/>
    <w:rsid w:val="009C4D70"/>
    <w:rsid w:val="009E4778"/>
    <w:rsid w:val="009E70E7"/>
    <w:rsid w:val="00A00B25"/>
    <w:rsid w:val="00A1589D"/>
    <w:rsid w:val="00A34471"/>
    <w:rsid w:val="00A56800"/>
    <w:rsid w:val="00AC5CE7"/>
    <w:rsid w:val="00AD2060"/>
    <w:rsid w:val="00AD712D"/>
    <w:rsid w:val="00B035E7"/>
    <w:rsid w:val="00B12936"/>
    <w:rsid w:val="00B37593"/>
    <w:rsid w:val="00B85662"/>
    <w:rsid w:val="00BB1F82"/>
    <w:rsid w:val="00BB31A1"/>
    <w:rsid w:val="00BC0F2E"/>
    <w:rsid w:val="00BF24EE"/>
    <w:rsid w:val="00C60AD9"/>
    <w:rsid w:val="00C72F3A"/>
    <w:rsid w:val="00C9300E"/>
    <w:rsid w:val="00CA6CFB"/>
    <w:rsid w:val="00CB3D0A"/>
    <w:rsid w:val="00CC53A0"/>
    <w:rsid w:val="00CD4B90"/>
    <w:rsid w:val="00CE767A"/>
    <w:rsid w:val="00D02218"/>
    <w:rsid w:val="00D2495C"/>
    <w:rsid w:val="00D309B2"/>
    <w:rsid w:val="00D365DC"/>
    <w:rsid w:val="00D756FD"/>
    <w:rsid w:val="00DE7238"/>
    <w:rsid w:val="00E016F2"/>
    <w:rsid w:val="00E417AB"/>
    <w:rsid w:val="00EB0AC5"/>
    <w:rsid w:val="00ED183C"/>
    <w:rsid w:val="00ED3204"/>
    <w:rsid w:val="00F062D1"/>
    <w:rsid w:val="00F156D0"/>
    <w:rsid w:val="00F33871"/>
    <w:rsid w:val="00F475F3"/>
    <w:rsid w:val="00F550DE"/>
    <w:rsid w:val="00F5535A"/>
    <w:rsid w:val="00F56E0C"/>
    <w:rsid w:val="00F65BCF"/>
    <w:rsid w:val="00F77FD7"/>
    <w:rsid w:val="00F91221"/>
    <w:rsid w:val="00FA4708"/>
    <w:rsid w:val="00FA766D"/>
    <w:rsid w:val="00FB5C18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8B7750F"/>
  <w15:chartTrackingRefBased/>
  <w15:docId w15:val="{F11F9AB5-D79D-49A0-B3D6-2958C8AF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0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D4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550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D4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2936"/>
  </w:style>
  <w:style w:type="paragraph" w:styleId="NormalWeb">
    <w:name w:val="Normal (Web)"/>
    <w:basedOn w:val="Normal"/>
    <w:uiPriority w:val="99"/>
    <w:unhideWhenUsed/>
    <w:rsid w:val="004C5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99060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F550DE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uiPriority w:val="22"/>
    <w:qFormat/>
    <w:rsid w:val="00F550DE"/>
    <w:rPr>
      <w:b/>
      <w:bCs/>
    </w:rPr>
  </w:style>
  <w:style w:type="character" w:customStyle="1" w:styleId="Heading1Char">
    <w:name w:val="Heading 1 Char"/>
    <w:link w:val="Heading1"/>
    <w:uiPriority w:val="9"/>
    <w:rsid w:val="00972D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72D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rashshare">
    <w:name w:val="drash_share"/>
    <w:basedOn w:val="DefaultParagraphFont"/>
    <w:rsid w:val="00972D4B"/>
  </w:style>
  <w:style w:type="character" w:styleId="Emphasis">
    <w:name w:val="Emphasis"/>
    <w:uiPriority w:val="20"/>
    <w:qFormat/>
    <w:rsid w:val="004A3FBE"/>
    <w:rPr>
      <w:i/>
      <w:iCs/>
    </w:rPr>
  </w:style>
  <w:style w:type="table" w:styleId="TableGrid">
    <w:name w:val="Table Grid"/>
    <w:basedOn w:val="TableNormal"/>
    <w:uiPriority w:val="59"/>
    <w:rsid w:val="00CD4B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33871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D712D"/>
  </w:style>
  <w:style w:type="paragraph" w:styleId="Header">
    <w:name w:val="header"/>
    <w:basedOn w:val="Normal"/>
    <w:link w:val="HeaderChar"/>
    <w:uiPriority w:val="99"/>
    <w:unhideWhenUsed/>
    <w:rsid w:val="00E417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17AB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17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17A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A5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2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66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0874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6084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687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79313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1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30295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83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1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2469-C5BB-4EA7-9CBB-E97E0F4E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ThanhNguyen</dc:creator>
  <cp:keywords/>
  <cp:lastModifiedBy>Han Kiên</cp:lastModifiedBy>
  <cp:revision>4</cp:revision>
  <dcterms:created xsi:type="dcterms:W3CDTF">2022-04-08T04:20:00Z</dcterms:created>
  <dcterms:modified xsi:type="dcterms:W3CDTF">2022-04-14T04:06:00Z</dcterms:modified>
</cp:coreProperties>
</file>