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47"/>
        <w:gridCol w:w="5624"/>
      </w:tblGrid>
      <w:tr w:rsidR="00425DA0" w:rsidRPr="00425DA0" w:rsidTr="00425DA0">
        <w:tc>
          <w:tcPr>
            <w:tcW w:w="3511" w:type="dxa"/>
            <w:tcMar>
              <w:top w:w="0" w:type="dxa"/>
              <w:left w:w="108" w:type="dxa"/>
              <w:bottom w:w="0" w:type="dxa"/>
              <w:right w:w="108" w:type="dxa"/>
            </w:tcMa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ỦY BAN NHÂN DÂN</w:t>
            </w:r>
            <w:r w:rsidRPr="00425DA0">
              <w:rPr>
                <w:rFonts w:eastAsia="Times New Roman" w:cs="Times New Roman"/>
                <w:b/>
                <w:bCs/>
                <w:sz w:val="24"/>
                <w:szCs w:val="24"/>
              </w:rPr>
              <w:br/>
              <w:t>TỈNH PHÚ THỌ</w:t>
            </w:r>
            <w:r w:rsidRPr="00425DA0">
              <w:rPr>
                <w:rFonts w:eastAsia="Times New Roman" w:cs="Times New Roman"/>
                <w:b/>
                <w:bCs/>
                <w:sz w:val="24"/>
                <w:szCs w:val="24"/>
              </w:rPr>
              <w:br/>
              <w:t>-------</w:t>
            </w:r>
          </w:p>
        </w:tc>
        <w:tc>
          <w:tcPr>
            <w:tcW w:w="5776" w:type="dxa"/>
            <w:tcMar>
              <w:top w:w="0" w:type="dxa"/>
              <w:left w:w="108" w:type="dxa"/>
              <w:bottom w:w="0" w:type="dxa"/>
              <w:right w:w="108" w:type="dxa"/>
            </w:tcMa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CỘNG HÒA XÃ HỘI CHỦ NGHĨA VIỆT NAM</w:t>
            </w:r>
            <w:r w:rsidRPr="00425DA0">
              <w:rPr>
                <w:rFonts w:eastAsia="Times New Roman" w:cs="Times New Roman"/>
                <w:b/>
                <w:bCs/>
                <w:sz w:val="24"/>
                <w:szCs w:val="24"/>
              </w:rPr>
              <w:br/>
              <w:t>Độc lập - Tự do - Hạnh phúc</w:t>
            </w:r>
            <w:r w:rsidRPr="00425DA0">
              <w:rPr>
                <w:rFonts w:eastAsia="Times New Roman" w:cs="Times New Roman"/>
                <w:b/>
                <w:bCs/>
                <w:sz w:val="24"/>
                <w:szCs w:val="24"/>
              </w:rPr>
              <w:br/>
              <w:t>---------------</w:t>
            </w:r>
          </w:p>
        </w:tc>
      </w:tr>
      <w:tr w:rsidR="00425DA0" w:rsidRPr="00425DA0" w:rsidTr="00425DA0">
        <w:tc>
          <w:tcPr>
            <w:tcW w:w="3511" w:type="dxa"/>
            <w:tcMar>
              <w:top w:w="0" w:type="dxa"/>
              <w:left w:w="108" w:type="dxa"/>
              <w:bottom w:w="0" w:type="dxa"/>
              <w:right w:w="108" w:type="dxa"/>
            </w:tcMa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 xml:space="preserve">Số: </w:t>
            </w:r>
            <w:bookmarkStart w:id="0" w:name="_GoBack"/>
            <w:r w:rsidRPr="00425DA0">
              <w:rPr>
                <w:rFonts w:eastAsia="Times New Roman" w:cs="Times New Roman"/>
                <w:sz w:val="24"/>
                <w:szCs w:val="24"/>
              </w:rPr>
              <w:t>15/2023/QĐ-UBND</w:t>
            </w:r>
            <w:bookmarkEnd w:id="0"/>
          </w:p>
        </w:tc>
        <w:tc>
          <w:tcPr>
            <w:tcW w:w="5776" w:type="dxa"/>
            <w:tcMar>
              <w:top w:w="0" w:type="dxa"/>
              <w:left w:w="108" w:type="dxa"/>
              <w:bottom w:w="0" w:type="dxa"/>
              <w:right w:w="108" w:type="dxa"/>
            </w:tcMa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i/>
                <w:iCs/>
                <w:sz w:val="24"/>
                <w:szCs w:val="24"/>
              </w:rPr>
              <w:t>Phú Thọ, ngày 18 tháng 7 năm 2023</w:t>
            </w:r>
          </w:p>
        </w:tc>
      </w:tr>
    </w:tbl>
    <w:p w:rsidR="00425DA0" w:rsidRPr="00425DA0" w:rsidRDefault="00425DA0" w:rsidP="00425DA0">
      <w:pPr>
        <w:spacing w:before="120" w:after="100" w:afterAutospacing="1" w:line="240" w:lineRule="auto"/>
        <w:rPr>
          <w:rFonts w:eastAsia="Times New Roman" w:cs="Times New Roman"/>
          <w:sz w:val="24"/>
          <w:szCs w:val="24"/>
        </w:rPr>
      </w:pPr>
    </w:p>
    <w:p w:rsidR="00425DA0" w:rsidRPr="00425DA0" w:rsidRDefault="00425DA0" w:rsidP="00425DA0">
      <w:pPr>
        <w:spacing w:before="120" w:after="100" w:afterAutospacing="1" w:line="240" w:lineRule="auto"/>
        <w:jc w:val="center"/>
        <w:rPr>
          <w:rFonts w:eastAsia="Times New Roman" w:cs="Times New Roman"/>
          <w:sz w:val="24"/>
          <w:szCs w:val="24"/>
        </w:rPr>
      </w:pPr>
      <w:bookmarkStart w:id="1" w:name="loai_1"/>
      <w:bookmarkEnd w:id="1"/>
      <w:r w:rsidRPr="00425DA0">
        <w:rPr>
          <w:rFonts w:eastAsia="Times New Roman" w:cs="Times New Roman"/>
          <w:b/>
          <w:bCs/>
          <w:sz w:val="24"/>
          <w:szCs w:val="24"/>
        </w:rPr>
        <w:t>QUYẾT ĐỊNH</w:t>
      </w:r>
    </w:p>
    <w:p w:rsidR="00425DA0" w:rsidRPr="00425DA0" w:rsidRDefault="00425DA0" w:rsidP="00425DA0">
      <w:pPr>
        <w:spacing w:before="120" w:after="100" w:afterAutospacing="1" w:line="240" w:lineRule="auto"/>
        <w:jc w:val="center"/>
        <w:rPr>
          <w:rFonts w:eastAsia="Times New Roman" w:cs="Times New Roman"/>
          <w:sz w:val="24"/>
          <w:szCs w:val="24"/>
        </w:rPr>
      </w:pPr>
      <w:bookmarkStart w:id="2" w:name="loai_1_name"/>
      <w:bookmarkEnd w:id="2"/>
      <w:r w:rsidRPr="00425DA0">
        <w:rPr>
          <w:rFonts w:eastAsia="Times New Roman" w:cs="Times New Roman"/>
          <w:sz w:val="24"/>
          <w:szCs w:val="24"/>
        </w:rPr>
        <w:t>QUY ĐỊNH GIÁ TÍNH LỆ PHÍ TRƯỚC BẠ ĐỐI VỚI NHÀ TRÊN ĐỊA BÀN TỈNH PHÚ THỌ</w:t>
      </w:r>
    </w:p>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ỦY BAN NHÂN DÂN TỈNH PHÚ THỌ</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i/>
          <w:iCs/>
          <w:sz w:val="24"/>
          <w:szCs w:val="24"/>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i/>
          <w:iCs/>
          <w:sz w:val="24"/>
          <w:szCs w:val="24"/>
        </w:rPr>
        <w:t>Căn cứ Luật Ban hành văn bản quy phạm pháp luật ngày 22 tháng 6 năm 2015; Luật sửa đổi, bổ sung một số điều của Luật Ban hành văn bản quy phạm pháp luật ngày 18 tháng 6 năm 2020;</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i/>
          <w:iCs/>
          <w:sz w:val="24"/>
          <w:szCs w:val="24"/>
        </w:rPr>
        <w:t>Căn cứ Luật Phí và lệ phí ngày 25 tháng 11 năm 2015;</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i/>
          <w:iCs/>
          <w:sz w:val="24"/>
          <w:szCs w:val="24"/>
        </w:rPr>
        <w:t>Căn cứ Luật Quản lý thuế ngày 13 tháng 6 năm 2019;</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i/>
          <w:iCs/>
          <w:sz w:val="24"/>
          <w:szCs w:val="24"/>
        </w:rPr>
        <w:t>Căn cứ Nghị định số 10/2022/NĐ-CP ngày 15 tháng 01 năm 2022 của Chính phủ quy định về lệ phí trước bạ;</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i/>
          <w:iCs/>
          <w:sz w:val="24"/>
          <w:szCs w:val="24"/>
        </w:rPr>
        <w:t>Căn cứ Thông tư số 13/2022/TT-BTC ngày 28 tháng 02 năm 2022 của Bộ trưởng Bộ Tài chính quy định chi tiết một số điều của Nghị định số 10/2022/NĐ-CP ngày 15 tháng 01 năm 2022 của Chính phủ quy định về lệ phí trước hạ;</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i/>
          <w:iCs/>
          <w:sz w:val="24"/>
          <w:szCs w:val="24"/>
        </w:rPr>
        <w:t>Theo đề nghị của Giám đốc Sở Tài chính.</w:t>
      </w:r>
    </w:p>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QUYẾT ĐỊNH:</w:t>
      </w:r>
    </w:p>
    <w:p w:rsidR="00425DA0" w:rsidRPr="00425DA0" w:rsidRDefault="00425DA0" w:rsidP="00425DA0">
      <w:pPr>
        <w:spacing w:before="120" w:after="100" w:afterAutospacing="1" w:line="240" w:lineRule="auto"/>
        <w:rPr>
          <w:rFonts w:eastAsia="Times New Roman" w:cs="Times New Roman"/>
          <w:sz w:val="24"/>
          <w:szCs w:val="24"/>
        </w:rPr>
      </w:pPr>
      <w:bookmarkStart w:id="3" w:name="dieu_1"/>
      <w:bookmarkEnd w:id="3"/>
      <w:r w:rsidRPr="00425DA0">
        <w:rPr>
          <w:rFonts w:eastAsia="Times New Roman" w:cs="Times New Roman"/>
          <w:b/>
          <w:bCs/>
          <w:sz w:val="24"/>
          <w:szCs w:val="24"/>
        </w:rPr>
        <w:t>Điều 1. Phạm vi điều chỉnh, đối tượng áp dụng</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1. Phạm vi điều chỉnh</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a) Quyết định này quy định về giá tính lệ phí trước bạ đối với nhà trên địa bàn tỉnh Phú Thọ.</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b) Các nội dung khác không quy định tại Quyết định này thực hiện theo quy định tại Nghị định số 10/2022/NĐ-CP ngày 15 tháng 01 năm 2022 của Chính phủ quy định về lệ phí trước bạ và Thông tư số 13/2022/TT-BTC ngày 28 tháng 02 năm 2022 của Bộ trưởng Bộ Tài chính quy định chi tiết một số điều của Nghị định số 10/2022/NĐ-CP ngày 15 tháng 01 năm 2022 của Chính phủ và các quy định của pháp luật có liên quan.</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2. Đối tượng áp dụng</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lastRenderedPageBreak/>
        <w:t>Cơ quan, tổ chức, cá nhân liên quan đến việc tính và thu lệ phí trước bạ của tổ chức, hộ gia đình, cá nhân có hoạt động mua, bán, chuyển nhượng tài sản là nhà thuộc đối tượng phải nộp lệ phí trước bạ đối với nhà theo quy định.</w:t>
      </w:r>
    </w:p>
    <w:p w:rsidR="00425DA0" w:rsidRPr="00425DA0" w:rsidRDefault="00425DA0" w:rsidP="00425DA0">
      <w:pPr>
        <w:spacing w:before="120" w:after="100" w:afterAutospacing="1" w:line="240" w:lineRule="auto"/>
        <w:rPr>
          <w:rFonts w:eastAsia="Times New Roman" w:cs="Times New Roman"/>
          <w:sz w:val="24"/>
          <w:szCs w:val="24"/>
        </w:rPr>
      </w:pPr>
      <w:bookmarkStart w:id="4" w:name="dieu_2"/>
      <w:bookmarkEnd w:id="4"/>
      <w:r w:rsidRPr="00425DA0">
        <w:rPr>
          <w:rFonts w:eastAsia="Times New Roman" w:cs="Times New Roman"/>
          <w:b/>
          <w:bCs/>
          <w:sz w:val="24"/>
          <w:szCs w:val="24"/>
        </w:rPr>
        <w:t>Điều 2. Giá tính lệ phí trước bạ đối với nhà</w:t>
      </w:r>
    </w:p>
    <w:tbl>
      <w:tblPr>
        <w:tblW w:w="5000" w:type="pct"/>
        <w:tblCellMar>
          <w:left w:w="0" w:type="dxa"/>
          <w:right w:w="0" w:type="dxa"/>
        </w:tblCellMar>
        <w:tblLook w:val="04A0" w:firstRow="1" w:lastRow="0" w:firstColumn="1" w:lastColumn="0" w:noHBand="0" w:noVBand="1"/>
      </w:tblPr>
      <w:tblGrid>
        <w:gridCol w:w="2245"/>
        <w:gridCol w:w="469"/>
        <w:gridCol w:w="1776"/>
        <w:gridCol w:w="374"/>
        <w:gridCol w:w="1589"/>
        <w:gridCol w:w="374"/>
        <w:gridCol w:w="2244"/>
      </w:tblGrid>
      <w:tr w:rsidR="00425DA0" w:rsidRPr="00425DA0" w:rsidTr="00425DA0">
        <w:tc>
          <w:tcPr>
            <w:tcW w:w="1200" w:type="pct"/>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Giá trị nhà tính lệ phí trước bạ (đồng)</w:t>
            </w:r>
          </w:p>
        </w:tc>
        <w:tc>
          <w:tcPr>
            <w:tcW w:w="250" w:type="pct"/>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950" w:type="pct"/>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Diện tích nhà chịu lệ phí trước bạ (m</w:t>
            </w:r>
            <w:r w:rsidRPr="00425DA0">
              <w:rPr>
                <w:rFonts w:eastAsia="Times New Roman" w:cs="Times New Roman"/>
                <w:sz w:val="24"/>
                <w:szCs w:val="24"/>
                <w:vertAlign w:val="superscript"/>
              </w:rPr>
              <w:t>2</w:t>
            </w:r>
            <w:r w:rsidRPr="00425DA0">
              <w:rPr>
                <w:rFonts w:eastAsia="Times New Roman" w:cs="Times New Roman"/>
                <w:sz w:val="24"/>
                <w:szCs w:val="24"/>
              </w:rPr>
              <w:t>)</w:t>
            </w:r>
          </w:p>
        </w:tc>
        <w:tc>
          <w:tcPr>
            <w:tcW w:w="200" w:type="pct"/>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x</w:t>
            </w:r>
          </w:p>
        </w:tc>
        <w:tc>
          <w:tcPr>
            <w:tcW w:w="850" w:type="pct"/>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Giá 01 (một) mét vuông nhà (đồng/m</w:t>
            </w:r>
            <w:r w:rsidRPr="00425DA0">
              <w:rPr>
                <w:rFonts w:eastAsia="Times New Roman" w:cs="Times New Roman"/>
                <w:sz w:val="24"/>
                <w:szCs w:val="24"/>
                <w:vertAlign w:val="superscript"/>
              </w:rPr>
              <w:t>2</w:t>
            </w:r>
            <w:r w:rsidRPr="00425DA0">
              <w:rPr>
                <w:rFonts w:eastAsia="Times New Roman" w:cs="Times New Roman"/>
                <w:sz w:val="24"/>
                <w:szCs w:val="24"/>
              </w:rPr>
              <w:t>)</w:t>
            </w:r>
          </w:p>
        </w:tc>
        <w:tc>
          <w:tcPr>
            <w:tcW w:w="200" w:type="pct"/>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x</w:t>
            </w:r>
          </w:p>
        </w:tc>
        <w:tc>
          <w:tcPr>
            <w:tcW w:w="1200" w:type="pct"/>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Tỷ lệ (%) chất lượng còn lại của nhà chịu lệ phí trước bạ</w:t>
            </w:r>
          </w:p>
        </w:tc>
      </w:tr>
    </w:tbl>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Trong đó:</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1. Diện tích nhà chịu lệ phí trước bạ là toàn bộ diện tích sàn nhà (kể cả diện tích công trình phụ kèm theo) thuộc quyền sở hữu hợp pháp của tổ chức, hộ gia đình, cá nhân.</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2. Giá 01 (một) mét vuông nhà tính lệ phí trước bạ là giá thực tế xây dựng mới 01 mét vuông sàn nhà của từng cấp nhà, hạng nhà tại Phụ lục số 01 ban hành kèm theo Quyết định này.</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3. Tỷ lệ (%) chất lượng còn lại của nhà chịu lệ phí trước bạ tại Phụ lục số 02 ban hành kèm theo Quyết định này.</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Thời gian đã qua sử dụng của nhà được tính từ thời điểm (năm) xây dựng hoàn thành bàn giao nhà (hoặc năm đưa vào sử dụng) đến năm kê khai, nộp lệ phí trước bạ đối với nhà theo các hồ sơ xây dựng do người kê khai cung cấp. Trường hợp hồ sơ không đủ căn cứ xác định thời gian đã qua sử dụng thì người nộp lệ phí trước bạ tự kê khai và chịu trách nhiệm với thông tin đã kê khai.</w:t>
      </w:r>
    </w:p>
    <w:p w:rsidR="00425DA0" w:rsidRPr="00425DA0" w:rsidRDefault="00425DA0" w:rsidP="00425DA0">
      <w:pPr>
        <w:spacing w:before="120" w:after="100" w:afterAutospacing="1" w:line="240" w:lineRule="auto"/>
        <w:rPr>
          <w:rFonts w:eastAsia="Times New Roman" w:cs="Times New Roman"/>
          <w:sz w:val="24"/>
          <w:szCs w:val="24"/>
        </w:rPr>
      </w:pPr>
      <w:bookmarkStart w:id="5" w:name="dieu_3"/>
      <w:bookmarkEnd w:id="5"/>
      <w:r w:rsidRPr="00425DA0">
        <w:rPr>
          <w:rFonts w:eastAsia="Times New Roman" w:cs="Times New Roman"/>
          <w:b/>
          <w:bCs/>
          <w:sz w:val="24"/>
          <w:szCs w:val="24"/>
        </w:rPr>
        <w:t>Điều 3. Tổ chức thực hiện</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1. Sở Tài chính theo dõi các cơ quan, đơn vị tổ chức thực hiện các quy định tại Quyết định này; Chủ trì phối hợp với Sở Xây dựng, Cục Thuế tỉnh và các đơn vị có liên quan tổng hợp các vướng mắc, đề xuất báo cáo trình UBND tỉnh xem xét, sửa đổi, bổ sung theo quy định.</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2. Cơ quan Thuế hướng dẫn việc kê khai và tổ chức thu, nộp lệ phí trước bạ theo đúng các quy định của pháp luật. Trong quá trình thực hiện nếu có phát sinh các vướng mắc, Cục Thuế tỉnh có ý kiến gửi Sở Tài chính, Sở Xây dựng tổng hợp, báo cáo UBND tỉnh theo quy định.</w:t>
      </w:r>
    </w:p>
    <w:p w:rsidR="00425DA0" w:rsidRPr="00425DA0" w:rsidRDefault="00425DA0" w:rsidP="00425DA0">
      <w:pPr>
        <w:spacing w:before="120" w:after="100" w:afterAutospacing="1" w:line="240" w:lineRule="auto"/>
        <w:rPr>
          <w:rFonts w:eastAsia="Times New Roman" w:cs="Times New Roman"/>
          <w:sz w:val="24"/>
          <w:szCs w:val="24"/>
        </w:rPr>
      </w:pPr>
      <w:bookmarkStart w:id="6" w:name="dieu_4"/>
      <w:bookmarkEnd w:id="6"/>
      <w:r w:rsidRPr="00425DA0">
        <w:rPr>
          <w:rFonts w:eastAsia="Times New Roman" w:cs="Times New Roman"/>
          <w:b/>
          <w:bCs/>
          <w:sz w:val="24"/>
          <w:szCs w:val="24"/>
        </w:rPr>
        <w:t>Điều 4. Hiệu lực thi hành</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1. Quyết định này có hiệu lực kể từ ngày 01 tháng 8 năm 2023 và thay thế Quyết định số 10/2019/QĐ-UBND ngày 20 tháng 8 năm 2019 của UBND tỉnh Phú Thọ về việc quy định giá tính lệ phí trước bạ đối với nhà trên địa bàn tỉnh Phú Thọ.</w:t>
      </w:r>
    </w:p>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2. Chánh Văn phòng Ủy ban nhân dân tỉnh; Giám đốc các sở, ngành: Tài chính, Xây dựng, Tài nguyên và Môi trường; Cục trưởng Cục Thuế tỉnh, Thủ trưởng các sở, ban, ngành; Chủ tịch Ủy ban nhân dân các huyện, thành, thị; các đơn vị, tổ chức và cá nhân có liên quan chịu trách nhiệm thi hành Quyết định này./.</w:t>
      </w:r>
    </w:p>
    <w:p w:rsidR="00425DA0" w:rsidRPr="00425DA0" w:rsidRDefault="00425DA0" w:rsidP="00425DA0">
      <w:pPr>
        <w:spacing w:before="120" w:after="100" w:afterAutospacing="1" w:line="240" w:lineRule="auto"/>
        <w:rPr>
          <w:rFonts w:eastAsia="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428"/>
        <w:gridCol w:w="4428"/>
      </w:tblGrid>
      <w:tr w:rsidR="00425DA0" w:rsidRPr="00425DA0" w:rsidTr="00425DA0">
        <w:tc>
          <w:tcPr>
            <w:tcW w:w="4428" w:type="dxa"/>
            <w:tcMar>
              <w:top w:w="0" w:type="dxa"/>
              <w:left w:w="108" w:type="dxa"/>
              <w:bottom w:w="0" w:type="dxa"/>
              <w:right w:w="108" w:type="dxa"/>
            </w:tcMa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b/>
                <w:bCs/>
                <w:i/>
                <w:iCs/>
                <w:sz w:val="24"/>
                <w:szCs w:val="24"/>
              </w:rPr>
              <w:t>Nơi nhận:</w:t>
            </w:r>
            <w:r w:rsidRPr="00425DA0">
              <w:rPr>
                <w:rFonts w:eastAsia="Times New Roman" w:cs="Times New Roman"/>
                <w:b/>
                <w:bCs/>
                <w:i/>
                <w:iCs/>
                <w:sz w:val="24"/>
                <w:szCs w:val="24"/>
              </w:rPr>
              <w:br/>
            </w:r>
            <w:r w:rsidRPr="00425DA0">
              <w:rPr>
                <w:rFonts w:eastAsia="Times New Roman" w:cs="Times New Roman"/>
                <w:sz w:val="16"/>
                <w:szCs w:val="16"/>
              </w:rPr>
              <w:t>- Văn phòng Chính phủ;</w:t>
            </w:r>
            <w:r w:rsidRPr="00425DA0">
              <w:rPr>
                <w:rFonts w:eastAsia="Times New Roman" w:cs="Times New Roman"/>
                <w:sz w:val="16"/>
                <w:szCs w:val="16"/>
              </w:rPr>
              <w:br/>
              <w:t>- Website Chính phủ;</w:t>
            </w:r>
            <w:r w:rsidRPr="00425DA0">
              <w:rPr>
                <w:rFonts w:eastAsia="Times New Roman" w:cs="Times New Roman"/>
                <w:sz w:val="16"/>
                <w:szCs w:val="16"/>
              </w:rPr>
              <w:br/>
              <w:t>- Cục Kiểm tra văn bản QPPL (Bộ Tư pháp);</w:t>
            </w:r>
            <w:r w:rsidRPr="00425DA0">
              <w:rPr>
                <w:rFonts w:eastAsia="Times New Roman" w:cs="Times New Roman"/>
                <w:sz w:val="16"/>
                <w:szCs w:val="16"/>
              </w:rPr>
              <w:br/>
              <w:t>- Vụ Pháp chế (Bộ Tài chính);</w:t>
            </w:r>
            <w:r w:rsidRPr="00425DA0">
              <w:rPr>
                <w:rFonts w:eastAsia="Times New Roman" w:cs="Times New Roman"/>
                <w:sz w:val="16"/>
                <w:szCs w:val="16"/>
              </w:rPr>
              <w:br/>
              <w:t>- TTTU, HĐND tỉnh;</w:t>
            </w:r>
            <w:r w:rsidRPr="00425DA0">
              <w:rPr>
                <w:rFonts w:eastAsia="Times New Roman" w:cs="Times New Roman"/>
                <w:sz w:val="16"/>
                <w:szCs w:val="16"/>
              </w:rPr>
              <w:br/>
              <w:t>- CT và các PCT UBND tỉnh;</w:t>
            </w:r>
            <w:r w:rsidRPr="00425DA0">
              <w:rPr>
                <w:rFonts w:eastAsia="Times New Roman" w:cs="Times New Roman"/>
                <w:sz w:val="16"/>
                <w:szCs w:val="16"/>
              </w:rPr>
              <w:br/>
              <w:t>- Ủy ban MTTQVN tỉnh;</w:t>
            </w:r>
            <w:r w:rsidRPr="00425DA0">
              <w:rPr>
                <w:rFonts w:eastAsia="Times New Roman" w:cs="Times New Roman"/>
                <w:sz w:val="16"/>
                <w:szCs w:val="16"/>
              </w:rPr>
              <w:br/>
              <w:t>- Đoàn ĐBQH tỉnh;</w:t>
            </w:r>
            <w:r w:rsidRPr="00425DA0">
              <w:rPr>
                <w:rFonts w:eastAsia="Times New Roman" w:cs="Times New Roman"/>
                <w:sz w:val="16"/>
                <w:szCs w:val="16"/>
              </w:rPr>
              <w:br/>
              <w:t>- Các sở, ban, ngành;</w:t>
            </w:r>
            <w:r w:rsidRPr="00425DA0">
              <w:rPr>
                <w:rFonts w:eastAsia="Times New Roman" w:cs="Times New Roman"/>
                <w:sz w:val="16"/>
                <w:szCs w:val="16"/>
              </w:rPr>
              <w:br/>
              <w:t>- UBND các huyện, thành, thị;</w:t>
            </w:r>
            <w:r w:rsidRPr="00425DA0">
              <w:rPr>
                <w:rFonts w:eastAsia="Times New Roman" w:cs="Times New Roman"/>
                <w:sz w:val="16"/>
                <w:szCs w:val="16"/>
              </w:rPr>
              <w:br/>
              <w:t>- Trung tâm Công báo - Tin học;</w:t>
            </w:r>
            <w:r w:rsidRPr="00425DA0">
              <w:rPr>
                <w:rFonts w:eastAsia="Times New Roman" w:cs="Times New Roman"/>
                <w:sz w:val="16"/>
                <w:szCs w:val="16"/>
              </w:rPr>
              <w:br/>
              <w:t>- Cổng thông tin điện tử tỉnh;</w:t>
            </w:r>
            <w:r w:rsidRPr="00425DA0">
              <w:rPr>
                <w:rFonts w:eastAsia="Times New Roman" w:cs="Times New Roman"/>
                <w:sz w:val="16"/>
                <w:szCs w:val="16"/>
              </w:rPr>
              <w:br/>
              <w:t>- CV NCTH;</w:t>
            </w:r>
            <w:r w:rsidRPr="00425DA0">
              <w:rPr>
                <w:rFonts w:eastAsia="Times New Roman" w:cs="Times New Roman"/>
                <w:sz w:val="16"/>
                <w:szCs w:val="16"/>
              </w:rPr>
              <w:br/>
              <w:t>- Lưu: VT, TH4(100b).</w:t>
            </w:r>
          </w:p>
        </w:tc>
        <w:tc>
          <w:tcPr>
            <w:tcW w:w="4428" w:type="dxa"/>
            <w:tcMar>
              <w:top w:w="0" w:type="dxa"/>
              <w:left w:w="108" w:type="dxa"/>
              <w:bottom w:w="0" w:type="dxa"/>
              <w:right w:w="108" w:type="dxa"/>
            </w:tcMa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TM. ỦY BAN NHÂN DÂN</w:t>
            </w:r>
            <w:r w:rsidRPr="00425DA0">
              <w:rPr>
                <w:rFonts w:eastAsia="Times New Roman" w:cs="Times New Roman"/>
                <w:b/>
                <w:bCs/>
                <w:sz w:val="24"/>
                <w:szCs w:val="24"/>
              </w:rPr>
              <w:br/>
              <w:t>KT. CHỦ TỊCH</w:t>
            </w:r>
            <w:r w:rsidRPr="00425DA0">
              <w:rPr>
                <w:rFonts w:eastAsia="Times New Roman" w:cs="Times New Roman"/>
                <w:b/>
                <w:bCs/>
                <w:sz w:val="24"/>
                <w:szCs w:val="24"/>
              </w:rPr>
              <w:br/>
              <w:t>PHÓ CHỦ TỊCH</w:t>
            </w:r>
            <w:r w:rsidRPr="00425DA0">
              <w:rPr>
                <w:rFonts w:eastAsia="Times New Roman" w:cs="Times New Roman"/>
                <w:b/>
                <w:bCs/>
                <w:sz w:val="24"/>
                <w:szCs w:val="24"/>
              </w:rPr>
              <w:br/>
            </w:r>
            <w:r w:rsidRPr="00425DA0">
              <w:rPr>
                <w:rFonts w:eastAsia="Times New Roman" w:cs="Times New Roman"/>
                <w:b/>
                <w:bCs/>
                <w:sz w:val="24"/>
                <w:szCs w:val="24"/>
              </w:rPr>
              <w:br/>
            </w:r>
            <w:r w:rsidRPr="00425DA0">
              <w:rPr>
                <w:rFonts w:eastAsia="Times New Roman" w:cs="Times New Roman"/>
                <w:b/>
                <w:bCs/>
                <w:sz w:val="24"/>
                <w:szCs w:val="24"/>
              </w:rPr>
              <w:br/>
            </w:r>
            <w:r w:rsidRPr="00425DA0">
              <w:rPr>
                <w:rFonts w:eastAsia="Times New Roman" w:cs="Times New Roman"/>
                <w:b/>
                <w:bCs/>
                <w:sz w:val="24"/>
                <w:szCs w:val="24"/>
              </w:rPr>
              <w:br/>
            </w:r>
            <w:r w:rsidRPr="00425DA0">
              <w:rPr>
                <w:rFonts w:eastAsia="Times New Roman" w:cs="Times New Roman"/>
                <w:b/>
                <w:bCs/>
                <w:sz w:val="24"/>
                <w:szCs w:val="24"/>
              </w:rPr>
              <w:br/>
              <w:t>Phan Trọng Tấn</w:t>
            </w:r>
          </w:p>
        </w:tc>
      </w:tr>
    </w:tbl>
    <w:p w:rsidR="00425DA0" w:rsidRPr="00425DA0" w:rsidRDefault="00425DA0" w:rsidP="00425DA0">
      <w:pPr>
        <w:spacing w:before="120" w:after="100" w:afterAutospacing="1" w:line="240" w:lineRule="auto"/>
        <w:rPr>
          <w:rFonts w:eastAsia="Times New Roman" w:cs="Times New Roman"/>
          <w:sz w:val="24"/>
          <w:szCs w:val="24"/>
        </w:rPr>
      </w:pPr>
    </w:p>
    <w:p w:rsidR="00425DA0" w:rsidRPr="00425DA0" w:rsidRDefault="00425DA0" w:rsidP="00425DA0">
      <w:pPr>
        <w:spacing w:before="120" w:after="100" w:afterAutospacing="1" w:line="240" w:lineRule="auto"/>
        <w:jc w:val="center"/>
        <w:rPr>
          <w:rFonts w:eastAsia="Times New Roman" w:cs="Times New Roman"/>
          <w:sz w:val="24"/>
          <w:szCs w:val="24"/>
        </w:rPr>
      </w:pPr>
      <w:bookmarkStart w:id="7" w:name="chuong_pl_1"/>
      <w:bookmarkEnd w:id="7"/>
      <w:r w:rsidRPr="00425DA0">
        <w:rPr>
          <w:rFonts w:eastAsia="Times New Roman" w:cs="Times New Roman"/>
          <w:b/>
          <w:bCs/>
          <w:sz w:val="24"/>
          <w:szCs w:val="24"/>
        </w:rPr>
        <w:t>PHỤ LỤC SỐ 01</w:t>
      </w:r>
    </w:p>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i/>
          <w:iCs/>
          <w:sz w:val="24"/>
          <w:szCs w:val="24"/>
        </w:rPr>
        <w:t>(Ban hành kèm theo Quyết định số 15/2023/QĐ-UBND ngày 18/7/2023 của UBND tỉnh Phú Thọ)</w:t>
      </w:r>
    </w:p>
    <w:p w:rsidR="00425DA0" w:rsidRPr="00425DA0" w:rsidRDefault="00425DA0" w:rsidP="00425DA0">
      <w:pPr>
        <w:spacing w:before="120" w:after="100" w:afterAutospacing="1" w:line="240" w:lineRule="auto"/>
        <w:jc w:val="center"/>
        <w:rPr>
          <w:rFonts w:eastAsia="Times New Roman" w:cs="Times New Roman"/>
          <w:sz w:val="24"/>
          <w:szCs w:val="24"/>
        </w:rPr>
      </w:pPr>
      <w:bookmarkStart w:id="8" w:name="chuong_pl_1_name"/>
      <w:bookmarkEnd w:id="8"/>
      <w:r w:rsidRPr="00425DA0">
        <w:rPr>
          <w:rFonts w:eastAsia="Times New Roman" w:cs="Times New Roman"/>
          <w:b/>
          <w:bCs/>
          <w:sz w:val="24"/>
          <w:szCs w:val="24"/>
        </w:rPr>
        <w:t>BẢNG GIÁ 01 MÉT VUÔNG NHÀ TÍNH LỆ PHÍ TRƯỚC BẠ TRÊN ĐỊA BÀN TỈNH PHÚ THỌ</w:t>
      </w:r>
    </w:p>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i/>
          <w:iCs/>
          <w:sz w:val="24"/>
          <w:szCs w:val="24"/>
        </w:rPr>
        <w:t>Đơn vị tính: đồng</w:t>
      </w:r>
    </w:p>
    <w:tbl>
      <w:tblPr>
        <w:tblW w:w="5000" w:type="pct"/>
        <w:tblCellMar>
          <w:left w:w="0" w:type="dxa"/>
          <w:right w:w="0" w:type="dxa"/>
        </w:tblCellMar>
        <w:tblLook w:val="04A0" w:firstRow="1" w:lastRow="0" w:firstColumn="1" w:lastColumn="0" w:noHBand="0" w:noVBand="1"/>
      </w:tblPr>
      <w:tblGrid>
        <w:gridCol w:w="474"/>
        <w:gridCol w:w="6645"/>
        <w:gridCol w:w="550"/>
        <w:gridCol w:w="1382"/>
      </w:tblGrid>
      <w:tr w:rsidR="00425DA0" w:rsidRPr="00425DA0" w:rsidTr="00425DA0">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STT</w:t>
            </w:r>
          </w:p>
        </w:tc>
        <w:tc>
          <w:tcPr>
            <w:tcW w:w="3600" w:type="pct"/>
            <w:tcBorders>
              <w:top w:val="single" w:sz="8" w:space="0" w:color="auto"/>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Loại công trình</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Cấp công trình</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Giá 01 mét vuông 1 sàn xây dựng</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l</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b/>
                <w:bCs/>
                <w:sz w:val="24"/>
                <w:szCs w:val="24"/>
              </w:rPr>
              <w:t>Nhà chung cư</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b/>
                <w:bCs/>
                <w:sz w:val="24"/>
                <w:szCs w:val="24"/>
              </w:rPr>
              <w:t> </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Số tầng ≤ 5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6.990.000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2</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Số tầng ≤ 5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8.172.000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3</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5 &lt; số tầng ≤ 7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9.029.000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4</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5 &lt; số tầng ≤ 7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9.657.000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5</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7 &lt; số tầng ≤ 10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9.297.000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6</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7 &lt; số tầng ≤10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9.729.000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7</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10 &lt; số tầng ≤ 15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9.733.000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8</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10 &lt; số tầng ≤15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10.011.000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9</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15 &lt; số tầng ≤ 20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10.862.000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10</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15 &lt; số tầng ≤ 20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11.020.000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11</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20 &lt; số tầng ≤ 24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12.084.000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12</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20 &lt; số tầng ≤ 24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12.176.000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13</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24 &lt; số tầng ≤ 30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12.688.000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14</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24 &lt; số tầng &lt; 30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12.741.000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15</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30 &lt; số tầng &lt;35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13.860.000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16</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30 &lt; số tầng ≤ 35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13.896.000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17</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35 &lt; số tầng ≤ 40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14.888.000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18</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35 &lt; số tầng ≤ 40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14.910.000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II</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b/>
                <w:bCs/>
                <w:sz w:val="24"/>
                <w:szCs w:val="24"/>
              </w:rPr>
              <w:t>Nhà ở riêng lẻ</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b/>
                <w:bCs/>
                <w:sz w:val="24"/>
                <w:szCs w:val="24"/>
              </w:rPr>
              <w:t> </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Nhà 1 tầng, tường bao xây gạch, mái tôn</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IV</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1.882.000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2</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Nhà 1 tầng, căn hộ khép kín, kết cấu tường gạch chịu lực, mái BTCT đổ tại chỗ</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IV</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4.943.000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3</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Nhà từ 2 đến 3 tầng, kết cấu chịu lực BTCT, tường bao xây gạch, sàn, mái BTCT đổ tại chỗ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7.581.000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9.359.000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4</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Nhà kiểu biệt thự từ 2 đến 3 tầng, kết cấu khung chịu lực BTCT tường bao xây gạch; sàn, mái BTCT đổ tại chỗ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9.524.000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10.251.000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5</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Nhà từ 4 đến 5 tầng, kết cấu chịu lực BTCT; tường bao xây gạch; sàn, mái BTCT đổ tại chỗ,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dưới 50m</w:t>
            </w:r>
            <w:r w:rsidRPr="00425DA0">
              <w:rPr>
                <w:rFonts w:eastAsia="Times New Roman" w:cs="Times New Roman"/>
                <w:sz w:val="24"/>
                <w:szCs w:val="24"/>
                <w:vertAlign w:val="superscript"/>
              </w:rPr>
              <w:t>2</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8.264.000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từ 50 đến dưới 70m</w:t>
            </w:r>
            <w:r w:rsidRPr="00425DA0">
              <w:rPr>
                <w:rFonts w:eastAsia="Times New Roman" w:cs="Times New Roman"/>
                <w:sz w:val="24"/>
                <w:szCs w:val="24"/>
                <w:vertAlign w:val="superscript"/>
              </w:rPr>
              <w:t>2</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7.695.000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từ 70 đến dưới 90m</w:t>
            </w:r>
            <w:r w:rsidRPr="00425DA0">
              <w:rPr>
                <w:rFonts w:eastAsia="Times New Roman" w:cs="Times New Roman"/>
                <w:sz w:val="24"/>
                <w:szCs w:val="24"/>
                <w:vertAlign w:val="superscript"/>
              </w:rPr>
              <w:t>2</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7.072.000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từ 90 đến dưới 140 m</w:t>
            </w:r>
            <w:r w:rsidRPr="00425DA0">
              <w:rPr>
                <w:rFonts w:eastAsia="Times New Roman" w:cs="Times New Roman"/>
                <w:sz w:val="24"/>
                <w:szCs w:val="24"/>
                <w:vertAlign w:val="superscript"/>
              </w:rPr>
              <w:t>2</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6.910.000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từ 140 đến dưới 180m</w:t>
            </w:r>
            <w:r w:rsidRPr="00425DA0">
              <w:rPr>
                <w:rFonts w:eastAsia="Times New Roman" w:cs="Times New Roman"/>
                <w:sz w:val="24"/>
                <w:szCs w:val="24"/>
                <w:vertAlign w:val="superscript"/>
              </w:rPr>
              <w:t>2</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6.709.000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từ 180m</w:t>
            </w:r>
            <w:r w:rsidRPr="00425DA0">
              <w:rPr>
                <w:rFonts w:eastAsia="Times New Roman" w:cs="Times New Roman"/>
                <w:sz w:val="24"/>
                <w:szCs w:val="24"/>
                <w:vertAlign w:val="superscript"/>
              </w:rPr>
              <w:t>2</w:t>
            </w:r>
            <w:r w:rsidRPr="00425DA0">
              <w:rPr>
                <w:rFonts w:eastAsia="Times New Roman" w:cs="Times New Roman"/>
                <w:sz w:val="24"/>
                <w:szCs w:val="24"/>
              </w:rPr>
              <w:t> trở lên</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6.408.000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6</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Nhà từ 4 đến 5 tầng, kết cấu chịu lực BTCT; tường bao xây gạch; sàn, mái BTCT đổ tại chỗ,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dưới 50m</w:t>
            </w:r>
            <w:r w:rsidRPr="00425DA0">
              <w:rPr>
                <w:rFonts w:eastAsia="Times New Roman" w:cs="Times New Roman"/>
                <w:sz w:val="24"/>
                <w:szCs w:val="24"/>
                <w:vertAlign w:val="superscript"/>
              </w:rPr>
              <w:t>2</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9.126.000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từ 50 đến dưới 70m</w:t>
            </w:r>
            <w:r w:rsidRPr="00425DA0">
              <w:rPr>
                <w:rFonts w:eastAsia="Times New Roman" w:cs="Times New Roman"/>
                <w:sz w:val="24"/>
                <w:szCs w:val="24"/>
                <w:vertAlign w:val="superscript"/>
              </w:rPr>
              <w:t>2</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8.341.000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từ 70 đến dưới 90m</w:t>
            </w:r>
            <w:r w:rsidRPr="00425DA0">
              <w:rPr>
                <w:rFonts w:eastAsia="Times New Roman" w:cs="Times New Roman"/>
                <w:sz w:val="24"/>
                <w:szCs w:val="24"/>
                <w:vertAlign w:val="superscript"/>
              </w:rPr>
              <w:t>2</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8.154.000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từ 90 đến dưới 140m</w:t>
            </w:r>
            <w:r w:rsidRPr="00425DA0">
              <w:rPr>
                <w:rFonts w:eastAsia="Times New Roman" w:cs="Times New Roman"/>
                <w:sz w:val="24"/>
                <w:szCs w:val="24"/>
                <w:vertAlign w:val="superscript"/>
              </w:rPr>
              <w:t>2</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8.022.000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từ 140 đến dưới 180m</w:t>
            </w:r>
            <w:r w:rsidRPr="00425DA0">
              <w:rPr>
                <w:rFonts w:eastAsia="Times New Roman" w:cs="Times New Roman"/>
                <w:sz w:val="24"/>
                <w:szCs w:val="24"/>
                <w:vertAlign w:val="superscript"/>
              </w:rPr>
              <w:t>2</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7.858.000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Diện tích xây dựng từ 180m</w:t>
            </w:r>
            <w:r w:rsidRPr="00425DA0">
              <w:rPr>
                <w:rFonts w:eastAsia="Times New Roman" w:cs="Times New Roman"/>
                <w:sz w:val="24"/>
                <w:szCs w:val="24"/>
                <w:vertAlign w:val="superscript"/>
              </w:rPr>
              <w:t>2</w:t>
            </w:r>
            <w:r w:rsidRPr="00425DA0">
              <w:rPr>
                <w:rFonts w:eastAsia="Times New Roman" w:cs="Times New Roman"/>
                <w:sz w:val="24"/>
                <w:szCs w:val="24"/>
              </w:rPr>
              <w:t> trở lên</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7.610.000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III</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b/>
                <w:bCs/>
                <w:sz w:val="24"/>
                <w:szCs w:val="24"/>
              </w:rPr>
              <w:t>Nhà xưởng, nhà kho</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Tường gạch, bổ trụ, kèo thép, mái tôn</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IV</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2.093.000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2</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Tường gạch, mái bằng</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IV</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2.434.000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3</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Cột bê tông, kèo thép, tường gạch, mái tôn</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IV</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2.886.000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4</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Cột kèo bê tông, tường gạch, mái tôn</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IV</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3.107.000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5</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Cột kèo thép, tường gạch, mái tôn</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IV</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2.633.000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IV</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b/>
                <w:bCs/>
                <w:sz w:val="24"/>
                <w:szCs w:val="24"/>
              </w:rPr>
              <w:t>Trụ sở, văn phòng làm việc</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b/>
                <w:bCs/>
                <w:sz w:val="24"/>
                <w:szCs w:val="24"/>
              </w:rPr>
              <w:t> </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Số tầng ≤ 5 tầng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8.551.000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2</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Số tầng ≤ 5 tầng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9.484.000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3</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5 &lt; số tầng ≤ 7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9.43 6.000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4</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5 &lt; số tầng ≤ 7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10.025.000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5</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7&lt; số tầng ≤ 15 không có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11.077.000</w:t>
            </w:r>
          </w:p>
        </w:tc>
      </w:tr>
      <w:tr w:rsidR="00425DA0" w:rsidRPr="00425DA0" w:rsidTr="00425DA0">
        <w:tc>
          <w:tcPr>
            <w:tcW w:w="2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6</w:t>
            </w:r>
          </w:p>
        </w:tc>
        <w:tc>
          <w:tcPr>
            <w:tcW w:w="3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7&lt; số tầng ≤ 15 có 1 tầng hầm</w:t>
            </w:r>
          </w:p>
        </w:tc>
        <w:tc>
          <w:tcPr>
            <w:tcW w:w="3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II</w:t>
            </w:r>
          </w:p>
        </w:tc>
        <w:tc>
          <w:tcPr>
            <w:tcW w:w="75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right"/>
              <w:rPr>
                <w:rFonts w:eastAsia="Times New Roman" w:cs="Times New Roman"/>
                <w:sz w:val="24"/>
                <w:szCs w:val="24"/>
              </w:rPr>
            </w:pPr>
            <w:r w:rsidRPr="00425DA0">
              <w:rPr>
                <w:rFonts w:eastAsia="Times New Roman" w:cs="Times New Roman"/>
                <w:sz w:val="24"/>
                <w:szCs w:val="24"/>
              </w:rPr>
              <w:t>11.357.000</w:t>
            </w:r>
          </w:p>
        </w:tc>
      </w:tr>
    </w:tbl>
    <w:p w:rsidR="00425DA0" w:rsidRPr="00425DA0" w:rsidRDefault="00425DA0" w:rsidP="00425DA0">
      <w:pPr>
        <w:spacing w:before="120" w:after="100" w:afterAutospacing="1" w:line="240" w:lineRule="auto"/>
        <w:rPr>
          <w:rFonts w:eastAsia="Times New Roman" w:cs="Times New Roman"/>
          <w:sz w:val="24"/>
          <w:szCs w:val="24"/>
        </w:rPr>
      </w:pPr>
    </w:p>
    <w:p w:rsidR="00425DA0" w:rsidRPr="00425DA0" w:rsidRDefault="00425DA0" w:rsidP="00425DA0">
      <w:pPr>
        <w:spacing w:before="120" w:after="100" w:afterAutospacing="1" w:line="240" w:lineRule="auto"/>
        <w:jc w:val="center"/>
        <w:rPr>
          <w:rFonts w:eastAsia="Times New Roman" w:cs="Times New Roman"/>
          <w:sz w:val="24"/>
          <w:szCs w:val="24"/>
        </w:rPr>
      </w:pPr>
      <w:bookmarkStart w:id="9" w:name="chuong_pl_2"/>
      <w:bookmarkEnd w:id="9"/>
      <w:r w:rsidRPr="00425DA0">
        <w:rPr>
          <w:rFonts w:eastAsia="Times New Roman" w:cs="Times New Roman"/>
          <w:b/>
          <w:bCs/>
          <w:sz w:val="24"/>
          <w:szCs w:val="24"/>
        </w:rPr>
        <w:t>PHỤ LỤC SỐ 02</w:t>
      </w:r>
    </w:p>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i/>
          <w:iCs/>
          <w:sz w:val="24"/>
          <w:szCs w:val="24"/>
        </w:rPr>
        <w:t>(Ban hành kèm theo Quyết định số 15/2023/QĐ-UBND ngày 18/7/2023 của UBND tỉnh Phú Thọ)</w:t>
      </w:r>
    </w:p>
    <w:p w:rsidR="00425DA0" w:rsidRPr="00425DA0" w:rsidRDefault="00425DA0" w:rsidP="00425DA0">
      <w:pPr>
        <w:spacing w:before="120" w:after="100" w:afterAutospacing="1" w:line="240" w:lineRule="auto"/>
        <w:jc w:val="center"/>
        <w:rPr>
          <w:rFonts w:eastAsia="Times New Roman" w:cs="Times New Roman"/>
          <w:sz w:val="24"/>
          <w:szCs w:val="24"/>
        </w:rPr>
      </w:pPr>
      <w:bookmarkStart w:id="10" w:name="chuong_pl_2_name"/>
      <w:bookmarkEnd w:id="10"/>
      <w:r w:rsidRPr="00425DA0">
        <w:rPr>
          <w:rFonts w:eastAsia="Times New Roman" w:cs="Times New Roman"/>
          <w:b/>
          <w:bCs/>
          <w:sz w:val="24"/>
          <w:szCs w:val="24"/>
        </w:rPr>
        <w:t>TỶ LỆ % CHẤT LƯỢNG CÒN LẠI CỦA NHÀ (CÔNG TRÌNH) CHỊU LỆ PHÍ TRƯỚC BẠ TRÊN ĐỊA BÀN TỈNH PHÚ THỌ</w:t>
      </w:r>
    </w:p>
    <w:tbl>
      <w:tblPr>
        <w:tblW w:w="5000" w:type="pct"/>
        <w:tblCellMar>
          <w:left w:w="0" w:type="dxa"/>
          <w:right w:w="0" w:type="dxa"/>
        </w:tblCellMar>
        <w:tblLook w:val="04A0" w:firstRow="1" w:lastRow="0" w:firstColumn="1" w:lastColumn="0" w:noHBand="0" w:noVBand="1"/>
      </w:tblPr>
      <w:tblGrid>
        <w:gridCol w:w="641"/>
        <w:gridCol w:w="3839"/>
        <w:gridCol w:w="1097"/>
        <w:gridCol w:w="1097"/>
        <w:gridCol w:w="1097"/>
        <w:gridCol w:w="1280"/>
      </w:tblGrid>
      <w:tr w:rsidR="00425DA0" w:rsidRPr="00425DA0" w:rsidTr="00425DA0">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STT</w:t>
            </w:r>
          </w:p>
        </w:tc>
        <w:tc>
          <w:tcPr>
            <w:tcW w:w="2100" w:type="pct"/>
            <w:vMerge w:val="restart"/>
            <w:tcBorders>
              <w:top w:val="single" w:sz="8" w:space="0" w:color="auto"/>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Thời gian đã qua sử dụng (năm)</w:t>
            </w:r>
          </w:p>
        </w:tc>
        <w:tc>
          <w:tcPr>
            <w:tcW w:w="2500" w:type="pct"/>
            <w:gridSpan w:val="4"/>
            <w:tcBorders>
              <w:top w:val="single" w:sz="8" w:space="0" w:color="auto"/>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Cấp công trình(%)</w:t>
            </w:r>
          </w:p>
        </w:tc>
      </w:tr>
      <w:tr w:rsidR="00425DA0" w:rsidRPr="00425DA0" w:rsidTr="00425DA0">
        <w:tc>
          <w:tcPr>
            <w:tcW w:w="0" w:type="auto"/>
            <w:vMerge/>
            <w:tcBorders>
              <w:top w:val="single" w:sz="8" w:space="0" w:color="auto"/>
              <w:left w:val="single" w:sz="8" w:space="0" w:color="auto"/>
              <w:bottom w:val="single" w:sz="8" w:space="0" w:color="auto"/>
              <w:right w:val="single" w:sz="8" w:space="0" w:color="auto"/>
            </w:tcBorders>
            <w:vAlign w:val="center"/>
            <w:hideMark/>
          </w:tcPr>
          <w:p w:rsidR="00425DA0" w:rsidRPr="00425DA0" w:rsidRDefault="00425DA0" w:rsidP="00425DA0">
            <w:pPr>
              <w:spacing w:line="240" w:lineRule="auto"/>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425DA0" w:rsidRPr="00425DA0" w:rsidRDefault="00425DA0" w:rsidP="00425DA0">
            <w:pPr>
              <w:spacing w:line="240" w:lineRule="auto"/>
              <w:rPr>
                <w:rFonts w:eastAsia="Times New Roman" w:cs="Times New Roman"/>
                <w:sz w:val="24"/>
                <w:szCs w:val="24"/>
              </w:rPr>
            </w:pP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Cấp l</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Cấp II</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Cấp III</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b/>
                <w:bCs/>
                <w:sz w:val="24"/>
                <w:szCs w:val="24"/>
              </w:rPr>
              <w:t>Cấp IV</w:t>
            </w:r>
          </w:p>
        </w:tc>
      </w:tr>
      <w:tr w:rsidR="00425DA0" w:rsidRPr="00425DA0" w:rsidTr="00425DA0">
        <w:tc>
          <w:tcPr>
            <w:tcW w:w="3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w:t>
            </w:r>
          </w:p>
        </w:tc>
        <w:tc>
          <w:tcPr>
            <w:tcW w:w="21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Dưới 1 năm</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100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100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100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100</w:t>
            </w:r>
          </w:p>
        </w:tc>
      </w:tr>
      <w:tr w:rsidR="00425DA0" w:rsidRPr="00425DA0" w:rsidTr="00425DA0">
        <w:tc>
          <w:tcPr>
            <w:tcW w:w="3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2</w:t>
            </w:r>
          </w:p>
        </w:tc>
        <w:tc>
          <w:tcPr>
            <w:tcW w:w="21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Từ 1 đến 5 năm</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95</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90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85</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80</w:t>
            </w:r>
          </w:p>
        </w:tc>
      </w:tr>
      <w:tr w:rsidR="00425DA0" w:rsidRPr="00425DA0" w:rsidTr="00425DA0">
        <w:tc>
          <w:tcPr>
            <w:tcW w:w="3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3</w:t>
            </w:r>
          </w:p>
        </w:tc>
        <w:tc>
          <w:tcPr>
            <w:tcW w:w="21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Trên 5 năm đến 10 năm</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90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85</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70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50</w:t>
            </w:r>
          </w:p>
        </w:tc>
      </w:tr>
      <w:tr w:rsidR="00425DA0" w:rsidRPr="00425DA0" w:rsidTr="00425DA0">
        <w:tc>
          <w:tcPr>
            <w:tcW w:w="3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4</w:t>
            </w:r>
          </w:p>
        </w:tc>
        <w:tc>
          <w:tcPr>
            <w:tcW w:w="21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Trên 10 năm đến 20 năm</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80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70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40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30</w:t>
            </w:r>
          </w:p>
        </w:tc>
      </w:tr>
      <w:tr w:rsidR="00425DA0" w:rsidRPr="00425DA0" w:rsidTr="00425DA0">
        <w:tc>
          <w:tcPr>
            <w:tcW w:w="3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5</w:t>
            </w:r>
          </w:p>
        </w:tc>
        <w:tc>
          <w:tcPr>
            <w:tcW w:w="21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Trên 20 năm đến 50 năm</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50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30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20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0</w:t>
            </w:r>
          </w:p>
        </w:tc>
      </w:tr>
      <w:tr w:rsidR="00425DA0" w:rsidRPr="00425DA0" w:rsidTr="00425DA0">
        <w:tc>
          <w:tcPr>
            <w:tcW w:w="350" w:type="pct"/>
            <w:tcBorders>
              <w:top w:val="nil"/>
              <w:left w:val="single" w:sz="8" w:space="0" w:color="auto"/>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6</w:t>
            </w:r>
          </w:p>
        </w:tc>
        <w:tc>
          <w:tcPr>
            <w:tcW w:w="21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rPr>
                <w:rFonts w:eastAsia="Times New Roman" w:cs="Times New Roman"/>
                <w:sz w:val="24"/>
                <w:szCs w:val="24"/>
              </w:rPr>
            </w:pPr>
            <w:r w:rsidRPr="00425DA0">
              <w:rPr>
                <w:rFonts w:eastAsia="Times New Roman" w:cs="Times New Roman"/>
                <w:sz w:val="24"/>
                <w:szCs w:val="24"/>
              </w:rPr>
              <w:t>Trên 50 năm</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30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0</w:t>
            </w:r>
          </w:p>
        </w:tc>
        <w:tc>
          <w:tcPr>
            <w:tcW w:w="600" w:type="pct"/>
            <w:tcBorders>
              <w:top w:val="nil"/>
              <w:left w:val="nil"/>
              <w:bottom w:val="single" w:sz="8" w:space="0" w:color="auto"/>
              <w:right w:val="single" w:sz="8" w:space="0" w:color="auto"/>
            </w:tcBorders>
            <w:shd w:val="clear" w:color="auto" w:fill="FFFFFF"/>
            <w:vAlign w:val="center"/>
            <w:hideMark/>
          </w:tcPr>
          <w:p w:rsidR="00425DA0" w:rsidRPr="00425DA0" w:rsidRDefault="00425DA0" w:rsidP="00425DA0">
            <w:pPr>
              <w:spacing w:before="120" w:after="100" w:afterAutospacing="1" w:line="240" w:lineRule="auto"/>
              <w:jc w:val="center"/>
              <w:rPr>
                <w:rFonts w:eastAsia="Times New Roman" w:cs="Times New Roman"/>
                <w:sz w:val="24"/>
                <w:szCs w:val="24"/>
              </w:rPr>
            </w:pPr>
            <w:r w:rsidRPr="00425DA0">
              <w:rPr>
                <w:rFonts w:eastAsia="Times New Roman" w:cs="Times New Roman"/>
                <w:sz w:val="24"/>
                <w:szCs w:val="24"/>
              </w:rPr>
              <w:t>0</w:t>
            </w:r>
          </w:p>
        </w:tc>
      </w:tr>
    </w:tbl>
    <w:p w:rsidR="001D0A37" w:rsidRPr="00425DA0" w:rsidRDefault="001D0A37">
      <w:pPr>
        <w:rPr>
          <w:rFonts w:cs="Times New Roman"/>
          <w:sz w:val="24"/>
          <w:szCs w:val="24"/>
        </w:rPr>
      </w:pPr>
    </w:p>
    <w:sectPr w:rsidR="001D0A37" w:rsidRPr="00425DA0"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A0"/>
    <w:rsid w:val="001D0A37"/>
    <w:rsid w:val="00425DA0"/>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35F3"/>
  <w15:chartTrackingRefBased/>
  <w15:docId w15:val="{5689FF5A-9271-4D15-BA9F-FEB922C3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DA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25DA0"/>
    <w:rPr>
      <w:b/>
      <w:bCs/>
    </w:rPr>
  </w:style>
  <w:style w:type="character" w:styleId="Emphasis">
    <w:name w:val="Emphasis"/>
    <w:basedOn w:val="DefaultParagraphFont"/>
    <w:uiPriority w:val="20"/>
    <w:qFormat/>
    <w:rsid w:val="00425D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939030">
      <w:bodyDiv w:val="1"/>
      <w:marLeft w:val="0"/>
      <w:marRight w:val="0"/>
      <w:marTop w:val="0"/>
      <w:marBottom w:val="0"/>
      <w:divBdr>
        <w:top w:val="none" w:sz="0" w:space="0" w:color="auto"/>
        <w:left w:val="none" w:sz="0" w:space="0" w:color="auto"/>
        <w:bottom w:val="none" w:sz="0" w:space="0" w:color="auto"/>
        <w:right w:val="none" w:sz="0" w:space="0" w:color="auto"/>
      </w:divBdr>
      <w:divsChild>
        <w:div w:id="1610969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2023-08-11T03:22:00Z</dcterms:created>
  <dcterms:modified xsi:type="dcterms:W3CDTF">2023-08-11T03:23:00Z</dcterms:modified>
</cp:coreProperties>
</file>