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2828C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6A7640" w14:textId="77777777" w:rsidR="00000000" w:rsidRDefault="00000000">
            <w:pPr>
              <w:spacing w:before="120"/>
              <w:jc w:val="center"/>
            </w:pPr>
            <w:r>
              <w:rPr>
                <w:b/>
                <w:bCs/>
              </w:rPr>
              <w:t>ỦY BAN NHÂN DÂN</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4744D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DAADFE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AFF5E9" w14:textId="77777777" w:rsidR="00000000" w:rsidRDefault="00000000">
            <w:pPr>
              <w:spacing w:before="120"/>
              <w:jc w:val="center"/>
            </w:pPr>
            <w:r>
              <w:t>Số: 1545/QĐ-UBND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79D346" w14:textId="77777777" w:rsidR="00000000" w:rsidRDefault="00000000">
            <w:pPr>
              <w:spacing w:before="120"/>
              <w:jc w:val="right"/>
            </w:pPr>
            <w:r>
              <w:rPr>
                <w:i/>
                <w:iCs/>
              </w:rPr>
              <w:t>Bắc Kạn, ngày 16 tháng 8 năm 2022</w:t>
            </w:r>
          </w:p>
        </w:tc>
      </w:tr>
    </w:tbl>
    <w:p w14:paraId="1F5D431E" w14:textId="77777777" w:rsidR="00000000" w:rsidRDefault="00000000">
      <w:pPr>
        <w:spacing w:before="120" w:after="280" w:afterAutospacing="1"/>
        <w:jc w:val="center"/>
      </w:pPr>
      <w:r>
        <w:rPr>
          <w:b/>
          <w:bCs/>
        </w:rPr>
        <w:t> </w:t>
      </w:r>
    </w:p>
    <w:p w14:paraId="57E49C68" w14:textId="77777777" w:rsidR="00000000" w:rsidRDefault="00000000">
      <w:pPr>
        <w:spacing w:before="120" w:after="280" w:afterAutospacing="1"/>
        <w:jc w:val="center"/>
      </w:pPr>
      <w:r>
        <w:rPr>
          <w:b/>
          <w:bCs/>
        </w:rPr>
        <w:t>QUYẾT ĐỊNH</w:t>
      </w:r>
    </w:p>
    <w:p w14:paraId="785118B2" w14:textId="77777777" w:rsidR="00000000" w:rsidRDefault="00000000">
      <w:pPr>
        <w:spacing w:before="120" w:after="280" w:afterAutospacing="1"/>
        <w:jc w:val="center"/>
      </w:pPr>
      <w:r>
        <w:t>VỀ VIỆC BAN HÀNH ĐỊNH MỨC CHI PHÍ ĐÀO TẠO CÁC NGHỀ ĐÀO TẠO DƯỚI 3 THÁNG ÁP DỤNG TRONG LĨNH VỰC GIÁO DỤC NGHỀ NGHIỆP TRÊN ĐỊA BÀN TỈNH BẮC KẠN</w:t>
      </w:r>
    </w:p>
    <w:p w14:paraId="5A2D597A" w14:textId="77777777" w:rsidR="00000000" w:rsidRDefault="00000000">
      <w:pPr>
        <w:spacing w:before="120" w:after="280" w:afterAutospacing="1"/>
        <w:jc w:val="center"/>
      </w:pPr>
      <w:r>
        <w:rPr>
          <w:b/>
          <w:bCs/>
        </w:rPr>
        <w:t>ỦY BAN NHÂN DÂN TỈNH BẮC KẠN</w:t>
      </w:r>
    </w:p>
    <w:p w14:paraId="18CE7E0E" w14:textId="77777777" w:rsidR="00000000" w:rsidRDefault="00000000">
      <w:pPr>
        <w:spacing w:before="120" w:after="280" w:afterAutospacing="1"/>
      </w:pPr>
      <w:r>
        <w:rPr>
          <w:i/>
          <w:iCs/>
        </w:rPr>
        <w:t>Căn cứ Luật Tổ chính quyền địa phương ngày 19 tháng 6 năm 2015;</w:t>
      </w:r>
    </w:p>
    <w:p w14:paraId="44C6A5AB" w14:textId="77777777" w:rsidR="00000000" w:rsidRDefault="00000000">
      <w:pPr>
        <w:spacing w:before="120" w:after="280" w:afterAutospacing="1"/>
      </w:pPr>
      <w:r>
        <w:rPr>
          <w:i/>
          <w:iCs/>
        </w:rPr>
        <w:t>Căn cứ Luật Giáo dục nghề nghiệp ngày 27 tháng 11 năm 2014;</w:t>
      </w:r>
    </w:p>
    <w:p w14:paraId="13CE6F02" w14:textId="77777777" w:rsidR="00000000" w:rsidRDefault="00000000">
      <w:pPr>
        <w:spacing w:before="120" w:after="280" w:afterAutospacing="1"/>
      </w:pPr>
      <w:r>
        <w:rPr>
          <w:i/>
          <w:iCs/>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71856A0D" w14:textId="77777777" w:rsidR="00000000" w:rsidRDefault="00000000">
      <w:pPr>
        <w:spacing w:before="120" w:after="280" w:afterAutospacing="1"/>
      </w:pPr>
      <w:r>
        <w:rPr>
          <w:i/>
          <w:iCs/>
        </w:rPr>
        <w:t>Căn cứ Nghị định số 60/2021/NĐ-CP ngày 21 tháng 6 năm 2021 của Chính phủ quy định cơ chế tự chủ tài chính của đơn vị sự nghiệp công lập;</w:t>
      </w:r>
    </w:p>
    <w:p w14:paraId="26427C1F" w14:textId="77777777" w:rsidR="00000000" w:rsidRDefault="00000000">
      <w:pPr>
        <w:spacing w:before="120" w:after="280" w:afterAutospacing="1"/>
      </w:pPr>
      <w:r>
        <w:rPr>
          <w:i/>
          <w:iCs/>
        </w:rPr>
        <w:t>Căn cứ Quyết định số 46/2015/QĐ-TTg ngày 28 tháng 9 năm 2015 của Thủ tướng</w:t>
      </w:r>
      <w:r>
        <w:t xml:space="preserve"> </w:t>
      </w:r>
      <w:r>
        <w:rPr>
          <w:i/>
          <w:iCs/>
        </w:rPr>
        <w:t>Chính phủ quy định chính sách hỗ trợ đào tạo trình độ sơ cấp, đào tạo dưới 03 tháng;</w:t>
      </w:r>
    </w:p>
    <w:p w14:paraId="5FA06D6D" w14:textId="77777777" w:rsidR="00000000" w:rsidRDefault="00000000">
      <w:pPr>
        <w:spacing w:before="120" w:after="280" w:afterAutospacing="1"/>
      </w:pPr>
      <w:r>
        <w:rPr>
          <w:i/>
          <w:iCs/>
        </w:rPr>
        <w:t>Căn cứ Thông tư số 152/2016/TT-BTC ngày 17 tháng 10 năm 2016 của Bộ Tài chính quy định quản lý và sử dụng kinh phí hỗ trợ đào tạo trình độ sơ cấp và đào tạo dưới 3 tháng;</w:t>
      </w:r>
    </w:p>
    <w:p w14:paraId="2892E955" w14:textId="77777777" w:rsidR="00000000" w:rsidRDefault="00000000">
      <w:pPr>
        <w:spacing w:before="120" w:after="280" w:afterAutospacing="1"/>
      </w:pPr>
      <w:r>
        <w:rPr>
          <w:i/>
          <w:iCs/>
        </w:rPr>
        <w:t>Căn cứ Thông tư số 40/2019/TT-BTC ngày 28 tháng 6 năm 2019 của Bộ Tài chính sửa đổi, bổ sung một số Điều của Thông tư số 152/2016/TT-BTC ngày 17 tháng 10 năm 2016 của Bộ Tài chính quy định quản lý và sử dụng kinh phí hỗ trợ đào tạo trình độ sơ cấp và đào tạo dưới 3 tháng;</w:t>
      </w:r>
    </w:p>
    <w:p w14:paraId="270E2996" w14:textId="77777777" w:rsidR="00000000" w:rsidRDefault="00000000">
      <w:pPr>
        <w:spacing w:before="120" w:after="280" w:afterAutospacing="1"/>
      </w:pPr>
      <w:r>
        <w:rPr>
          <w:i/>
          <w:iCs/>
        </w:rPr>
        <w:t>Căn cứ Hướng dẫn số 412/HD-UBND ngày 08 tháng 7 năm 2021 của UBND tỉnh Bắc Kạn hướng dẫn các đơn vị sự nghiệp công xây dựng danh mục dịch vụ sự nghiệp công sử dụng ngân sách nhà nước và xây dựng định mức kinh tế - kỹ thuật trong các lĩnh vực dịch vụ sự nghiệp công trên địa bàn tỉnh Bắc Kạn;</w:t>
      </w:r>
    </w:p>
    <w:p w14:paraId="655E32CF" w14:textId="77777777" w:rsidR="00000000" w:rsidRDefault="00000000">
      <w:pPr>
        <w:spacing w:before="120" w:after="280" w:afterAutospacing="1"/>
      </w:pPr>
      <w:r>
        <w:rPr>
          <w:i/>
          <w:iCs/>
        </w:rPr>
        <w:t>Căn cứ Quyết định số 1142/QĐ-UBND ngày 29 tháng 6 năm 2022 của UBND tỉnh về việc ban hành danh mục nghề và định mức kinh tế - kỹ thuật các nghề đào tạo dưới 3 tháng và trình độ sơ cấp áp dụng trong lĩnh vực giáo dục nghề nghiệp trên địa bàn tỉnh Bắc Kạn;</w:t>
      </w:r>
    </w:p>
    <w:p w14:paraId="69D02ECD" w14:textId="77777777" w:rsidR="00000000" w:rsidRDefault="00000000">
      <w:pPr>
        <w:spacing w:before="120" w:after="280" w:afterAutospacing="1"/>
      </w:pPr>
      <w:r>
        <w:rPr>
          <w:i/>
          <w:iCs/>
        </w:rPr>
        <w:lastRenderedPageBreak/>
        <w:t>Theo đề nghị của Giám đốc Sở Lao động - Thương binh và Xã hội tại Tờ trình số 1626/TTr-LĐTBXH ngày 05 tháng 8 năm 2022.</w:t>
      </w:r>
    </w:p>
    <w:p w14:paraId="72A0551F" w14:textId="77777777" w:rsidR="00000000" w:rsidRDefault="00000000">
      <w:pPr>
        <w:spacing w:before="120" w:after="280" w:afterAutospacing="1"/>
        <w:jc w:val="center"/>
      </w:pPr>
      <w:r>
        <w:rPr>
          <w:b/>
          <w:bCs/>
        </w:rPr>
        <w:t>QUYẾT ĐỊNH:</w:t>
      </w:r>
    </w:p>
    <w:p w14:paraId="0BEE80A0" w14:textId="77777777" w:rsidR="00000000" w:rsidRDefault="00000000">
      <w:pPr>
        <w:spacing w:before="120" w:after="280" w:afterAutospacing="1"/>
      </w:pPr>
      <w:r>
        <w:rPr>
          <w:b/>
          <w:bCs/>
        </w:rPr>
        <w:t xml:space="preserve">Điều 1. </w:t>
      </w:r>
      <w:r>
        <w:t>Ban hành định mức chi phí đào tạo các nghề trình độ đào tạo dưới 3 tháng áp dụng trong lĩnh vực giáo dục nghề nghiệp trên địa bàn tỉnh Bắc Kạn.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6"/>
        <w:gridCol w:w="5802"/>
        <w:gridCol w:w="2972"/>
      </w:tblGrid>
      <w:tr w:rsidR="00000000" w14:paraId="06D4A846" w14:textId="77777777">
        <w:tc>
          <w:tcPr>
            <w:tcW w:w="3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1F10" w14:textId="77777777" w:rsidR="00000000" w:rsidRDefault="00000000">
            <w:pPr>
              <w:spacing w:before="120"/>
              <w:jc w:val="center"/>
            </w:pPr>
            <w:r>
              <w:rPr>
                <w:b/>
                <w:bCs/>
              </w:rPr>
              <w:t>Stt</w:t>
            </w:r>
          </w:p>
        </w:tc>
        <w:tc>
          <w:tcPr>
            <w:tcW w:w="31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997B5" w14:textId="77777777" w:rsidR="00000000" w:rsidRDefault="00000000">
            <w:pPr>
              <w:spacing w:before="120"/>
              <w:jc w:val="center"/>
            </w:pPr>
            <w:r>
              <w:rPr>
                <w:b/>
                <w:bCs/>
              </w:rPr>
              <w:t>Tên nghề đào tạo</w:t>
            </w:r>
          </w:p>
        </w:tc>
        <w:tc>
          <w:tcPr>
            <w:tcW w:w="1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DCE00" w14:textId="77777777" w:rsidR="00000000" w:rsidRDefault="00000000">
            <w:pPr>
              <w:spacing w:before="120"/>
              <w:jc w:val="center"/>
            </w:pPr>
            <w:r>
              <w:rPr>
                <w:b/>
                <w:bCs/>
              </w:rPr>
              <w:t>Định mức chi phí cho</w:t>
            </w:r>
            <w:r>
              <w:t xml:space="preserve"> </w:t>
            </w:r>
            <w:r>
              <w:rPr>
                <w:b/>
                <w:bCs/>
              </w:rPr>
              <w:t>01 học viên/khóa đào tạo</w:t>
            </w:r>
          </w:p>
        </w:tc>
      </w:tr>
      <w:tr w:rsidR="00000000" w14:paraId="37A265F5"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849D7" w14:textId="77777777" w:rsidR="00000000" w:rsidRDefault="00000000">
            <w:pPr>
              <w:spacing w:before="120"/>
              <w:jc w:val="center"/>
            </w:pPr>
            <w:r>
              <w:t>1</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90BA" w14:textId="77777777" w:rsidR="00000000" w:rsidRDefault="00000000">
            <w:pPr>
              <w:spacing w:before="120"/>
            </w:pPr>
            <w:r>
              <w:t>Nuôi và phòng trị bệnh cho gà, thủy cầm</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DFE52" w14:textId="77777777" w:rsidR="00000000" w:rsidRDefault="00000000">
            <w:pPr>
              <w:spacing w:before="120"/>
              <w:jc w:val="right"/>
            </w:pPr>
            <w:r>
              <w:t>2.350.000 đồng</w:t>
            </w:r>
          </w:p>
        </w:tc>
      </w:tr>
      <w:tr w:rsidR="00000000" w14:paraId="3C43190F"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3D7F" w14:textId="77777777" w:rsidR="00000000" w:rsidRDefault="00000000">
            <w:pPr>
              <w:spacing w:before="120"/>
              <w:jc w:val="center"/>
            </w:pPr>
            <w:r>
              <w:t>2</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14A4" w14:textId="77777777" w:rsidR="00000000" w:rsidRDefault="00000000">
            <w:pPr>
              <w:spacing w:before="120"/>
            </w:pPr>
            <w:r>
              <w:t>Nuôi và phòng trị bệnh cho thủy cầm</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B9CF" w14:textId="77777777" w:rsidR="00000000" w:rsidRDefault="00000000">
            <w:pPr>
              <w:spacing w:before="120"/>
              <w:jc w:val="right"/>
            </w:pPr>
            <w:r>
              <w:t>2.700.000 đồng</w:t>
            </w:r>
          </w:p>
        </w:tc>
      </w:tr>
      <w:tr w:rsidR="00000000" w14:paraId="02800E97"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2CA3" w14:textId="77777777" w:rsidR="00000000" w:rsidRDefault="00000000">
            <w:pPr>
              <w:spacing w:before="120"/>
              <w:jc w:val="center"/>
            </w:pPr>
            <w:r>
              <w:t>3</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E6167" w14:textId="77777777" w:rsidR="00000000" w:rsidRDefault="00000000">
            <w:pPr>
              <w:spacing w:before="120"/>
            </w:pPr>
            <w:r>
              <w:t>Nuôi thủy sản nước ngọt</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6D62" w14:textId="77777777" w:rsidR="00000000" w:rsidRDefault="00000000">
            <w:pPr>
              <w:spacing w:before="120"/>
              <w:jc w:val="right"/>
            </w:pPr>
            <w:r>
              <w:t>2.700.000 đồng</w:t>
            </w:r>
          </w:p>
        </w:tc>
      </w:tr>
      <w:tr w:rsidR="00000000" w14:paraId="7E5F0F7D"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5CFF" w14:textId="77777777" w:rsidR="00000000" w:rsidRDefault="00000000">
            <w:pPr>
              <w:spacing w:before="120"/>
              <w:jc w:val="center"/>
            </w:pPr>
            <w:r>
              <w:t>4</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86793" w14:textId="77777777" w:rsidR="00000000" w:rsidRDefault="00000000">
            <w:pPr>
              <w:spacing w:before="120"/>
            </w:pPr>
            <w:r>
              <w:t>Nuôi ong mật</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A4111" w14:textId="77777777" w:rsidR="00000000" w:rsidRDefault="00000000">
            <w:pPr>
              <w:spacing w:before="120"/>
              <w:jc w:val="right"/>
            </w:pPr>
            <w:r>
              <w:t>2.650.000 đồng</w:t>
            </w:r>
          </w:p>
        </w:tc>
      </w:tr>
      <w:tr w:rsidR="00000000" w14:paraId="331F1F95"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21C8F" w14:textId="77777777" w:rsidR="00000000" w:rsidRDefault="00000000">
            <w:pPr>
              <w:spacing w:before="120"/>
              <w:jc w:val="center"/>
            </w:pPr>
            <w:r>
              <w:t>5</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E4E06" w14:textId="77777777" w:rsidR="00000000" w:rsidRDefault="00000000">
            <w:pPr>
              <w:spacing w:before="120"/>
            </w:pPr>
            <w:r>
              <w:t>Nuôi và phòng trị bệnh cho lợn</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41F3C" w14:textId="77777777" w:rsidR="00000000" w:rsidRDefault="00000000">
            <w:pPr>
              <w:spacing w:before="120"/>
              <w:jc w:val="right"/>
            </w:pPr>
            <w:r>
              <w:t>2.350.000 đồng</w:t>
            </w:r>
          </w:p>
        </w:tc>
      </w:tr>
      <w:tr w:rsidR="00000000" w14:paraId="03C82948"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B685A" w14:textId="77777777" w:rsidR="00000000" w:rsidRDefault="00000000">
            <w:pPr>
              <w:spacing w:before="120"/>
              <w:jc w:val="center"/>
            </w:pPr>
            <w:r>
              <w:t>6</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1AA3" w14:textId="77777777" w:rsidR="00000000" w:rsidRDefault="00000000">
            <w:pPr>
              <w:spacing w:before="120"/>
            </w:pPr>
            <w:r>
              <w:t>Sử dụng thuốc thú y trong chăn nuôi</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DC62B" w14:textId="77777777" w:rsidR="00000000" w:rsidRDefault="00000000">
            <w:pPr>
              <w:spacing w:before="120"/>
              <w:jc w:val="right"/>
            </w:pPr>
            <w:r>
              <w:t>2.300.000 đồng</w:t>
            </w:r>
          </w:p>
        </w:tc>
      </w:tr>
      <w:tr w:rsidR="00000000" w14:paraId="27F3FA55"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4517A" w14:textId="77777777" w:rsidR="00000000" w:rsidRDefault="00000000">
            <w:pPr>
              <w:spacing w:before="120"/>
              <w:jc w:val="center"/>
            </w:pPr>
            <w:r>
              <w:t>7</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67024" w14:textId="77777777" w:rsidR="00000000" w:rsidRDefault="00000000">
            <w:pPr>
              <w:spacing w:before="120"/>
            </w:pPr>
            <w:r>
              <w:t>Sản xuất chế biến thức ăn hỗn hợp trong chăn nuôi</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8DF1B" w14:textId="77777777" w:rsidR="00000000" w:rsidRDefault="00000000">
            <w:pPr>
              <w:spacing w:before="120"/>
              <w:jc w:val="right"/>
            </w:pPr>
            <w:r>
              <w:t>2.300.000 đồng</w:t>
            </w:r>
          </w:p>
        </w:tc>
      </w:tr>
      <w:tr w:rsidR="00000000" w14:paraId="7862E381"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75B88" w14:textId="77777777" w:rsidR="00000000" w:rsidRDefault="00000000">
            <w:pPr>
              <w:spacing w:before="120"/>
              <w:jc w:val="center"/>
            </w:pPr>
            <w:r>
              <w:t>8</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4347" w14:textId="77777777" w:rsidR="00000000" w:rsidRDefault="00000000">
            <w:pPr>
              <w:spacing w:before="120"/>
            </w:pPr>
            <w:r>
              <w:t>Trồng và chăm sóc cây rau</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D096" w14:textId="77777777" w:rsidR="00000000" w:rsidRDefault="00000000">
            <w:pPr>
              <w:spacing w:before="120"/>
              <w:jc w:val="right"/>
            </w:pPr>
            <w:r>
              <w:t>2.350.000 đồng</w:t>
            </w:r>
          </w:p>
        </w:tc>
      </w:tr>
      <w:tr w:rsidR="00000000" w14:paraId="056C13EE"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EC3FA" w14:textId="77777777" w:rsidR="00000000" w:rsidRDefault="00000000">
            <w:pPr>
              <w:spacing w:before="120"/>
              <w:jc w:val="center"/>
            </w:pPr>
            <w:r>
              <w:t>9</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107E4" w14:textId="77777777" w:rsidR="00000000" w:rsidRDefault="00000000">
            <w:pPr>
              <w:spacing w:before="120"/>
            </w:pPr>
            <w:r>
              <w:t>Trồng và chăm sóc cây có múi</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86E6" w14:textId="77777777" w:rsidR="00000000" w:rsidRDefault="00000000">
            <w:pPr>
              <w:spacing w:before="120"/>
              <w:jc w:val="right"/>
            </w:pPr>
            <w:r>
              <w:t>2.700.000 đồng</w:t>
            </w:r>
          </w:p>
        </w:tc>
      </w:tr>
      <w:tr w:rsidR="00000000" w14:paraId="33D44677"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53401" w14:textId="77777777" w:rsidR="00000000" w:rsidRDefault="00000000">
            <w:pPr>
              <w:spacing w:before="120"/>
              <w:jc w:val="center"/>
            </w:pPr>
            <w:r>
              <w:t>10</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8DA16" w14:textId="77777777" w:rsidR="00000000" w:rsidRDefault="00000000">
            <w:pPr>
              <w:spacing w:before="120"/>
            </w:pPr>
            <w:r>
              <w:t>Trồng và khai thác rừng</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36207" w14:textId="77777777" w:rsidR="00000000" w:rsidRDefault="00000000">
            <w:pPr>
              <w:spacing w:before="120"/>
              <w:jc w:val="right"/>
            </w:pPr>
            <w:r>
              <w:t>2.750.000 đồng</w:t>
            </w:r>
          </w:p>
        </w:tc>
      </w:tr>
      <w:tr w:rsidR="00000000" w14:paraId="188218C7"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053E" w14:textId="77777777" w:rsidR="00000000" w:rsidRDefault="00000000">
            <w:pPr>
              <w:spacing w:before="120"/>
              <w:jc w:val="center"/>
            </w:pPr>
            <w:r>
              <w:t>11</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0D57" w14:textId="77777777" w:rsidR="00000000" w:rsidRDefault="00000000">
            <w:pPr>
              <w:spacing w:before="120"/>
            </w:pPr>
            <w:r>
              <w:t>Mây tre đan</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9926" w14:textId="77777777" w:rsidR="00000000" w:rsidRDefault="00000000">
            <w:pPr>
              <w:spacing w:before="120"/>
              <w:jc w:val="right"/>
            </w:pPr>
            <w:r>
              <w:t>2.750.000 đồng</w:t>
            </w:r>
          </w:p>
        </w:tc>
      </w:tr>
      <w:tr w:rsidR="00000000" w14:paraId="24DB02BD"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5931" w14:textId="77777777" w:rsidR="00000000" w:rsidRDefault="00000000">
            <w:pPr>
              <w:spacing w:before="120"/>
              <w:jc w:val="center"/>
            </w:pPr>
            <w:r>
              <w:t>12</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390E7" w14:textId="77777777" w:rsidR="00000000" w:rsidRDefault="00000000">
            <w:pPr>
              <w:spacing w:before="120"/>
            </w:pPr>
            <w:r>
              <w:t>May công nghiệp</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E188" w14:textId="77777777" w:rsidR="00000000" w:rsidRDefault="00000000">
            <w:pPr>
              <w:spacing w:before="120"/>
              <w:jc w:val="right"/>
            </w:pPr>
            <w:r>
              <w:t>2.550.000 đồng</w:t>
            </w:r>
          </w:p>
        </w:tc>
      </w:tr>
      <w:tr w:rsidR="00000000" w14:paraId="0050264C"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4C875" w14:textId="77777777" w:rsidR="00000000" w:rsidRDefault="00000000">
            <w:pPr>
              <w:spacing w:before="120"/>
              <w:jc w:val="center"/>
            </w:pPr>
            <w:r>
              <w:t>13</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E208" w14:textId="77777777" w:rsidR="00000000" w:rsidRDefault="00000000">
            <w:pPr>
              <w:spacing w:before="120"/>
            </w:pPr>
            <w:r>
              <w:t>Kỹ thuật xây dựng</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E2937" w14:textId="77777777" w:rsidR="00000000" w:rsidRDefault="00000000">
            <w:pPr>
              <w:spacing w:before="120"/>
              <w:jc w:val="right"/>
            </w:pPr>
            <w:r>
              <w:t>2.800.000 đồng</w:t>
            </w:r>
          </w:p>
        </w:tc>
      </w:tr>
      <w:tr w:rsidR="00000000" w14:paraId="5F763A5B"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9DE7E" w14:textId="77777777" w:rsidR="00000000" w:rsidRDefault="00000000">
            <w:pPr>
              <w:spacing w:before="120"/>
              <w:jc w:val="center"/>
            </w:pPr>
            <w:r>
              <w:t>14</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5A0C" w14:textId="77777777" w:rsidR="00000000" w:rsidRDefault="00000000">
            <w:pPr>
              <w:spacing w:before="120"/>
            </w:pPr>
            <w:r>
              <w:t>Pha chế đồ uống</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5128" w14:textId="77777777" w:rsidR="00000000" w:rsidRDefault="00000000">
            <w:pPr>
              <w:spacing w:before="120"/>
              <w:jc w:val="right"/>
            </w:pPr>
            <w:r>
              <w:t>2.300.000 đồng</w:t>
            </w:r>
          </w:p>
        </w:tc>
      </w:tr>
      <w:tr w:rsidR="00000000" w14:paraId="1AD07F04" w14:textId="77777777">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9232" w14:textId="77777777" w:rsidR="00000000" w:rsidRDefault="00000000">
            <w:pPr>
              <w:spacing w:before="120"/>
              <w:jc w:val="center"/>
            </w:pPr>
            <w:r>
              <w:t>15</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5989" w14:textId="77777777" w:rsidR="00000000" w:rsidRDefault="00000000">
            <w:pPr>
              <w:spacing w:before="120"/>
            </w:pPr>
            <w:r>
              <w:t>Chế biến món ăn</w:t>
            </w:r>
          </w:p>
        </w:tc>
        <w:tc>
          <w:tcPr>
            <w:tcW w:w="1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9C0A6" w14:textId="77777777" w:rsidR="00000000" w:rsidRDefault="00000000">
            <w:pPr>
              <w:spacing w:before="120"/>
              <w:jc w:val="right"/>
            </w:pPr>
            <w:r>
              <w:t>2.300.000 đồng</w:t>
            </w:r>
          </w:p>
        </w:tc>
      </w:tr>
    </w:tbl>
    <w:p w14:paraId="4BA586B5" w14:textId="77777777" w:rsidR="00000000" w:rsidRDefault="00000000">
      <w:pPr>
        <w:spacing w:before="120" w:after="280" w:afterAutospacing="1"/>
      </w:pPr>
      <w:r>
        <w:rPr>
          <w:b/>
          <w:bCs/>
        </w:rPr>
        <w:t xml:space="preserve">Điều 2. </w:t>
      </w:r>
      <w:r>
        <w:t>Quyết định này có hiệu lực kể từ ngày ký ban hành.</w:t>
      </w:r>
    </w:p>
    <w:p w14:paraId="282DA7D2" w14:textId="77777777" w:rsidR="00000000" w:rsidRDefault="00000000">
      <w:pPr>
        <w:spacing w:before="120" w:after="280" w:afterAutospacing="1"/>
      </w:pPr>
      <w:r>
        <w:rPr>
          <w:b/>
          <w:bCs/>
        </w:rPr>
        <w:t xml:space="preserve">Điều 3. </w:t>
      </w:r>
      <w:r>
        <w:t>Chánh Văn phòng UBND tỉnh; Giám đốc các Sở: Tài chính, Lao động - Thương binh và Xã hội, Kế hoạch và Đầu tư, Nông nghiệp và Phát triển nông thôn; Chủ tịch UBND các huyện, thành phố và Thủ trưởng các cơ quan, đơn vị liên quan chịu trách nhiệm thi hành Quyết định này./.</w:t>
      </w:r>
    </w:p>
    <w:p w14:paraId="7A8BE38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EACFE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A398E3" w14:textId="77777777" w:rsidR="00000000" w:rsidRDefault="00000000">
            <w:pPr>
              <w:spacing w:before="120"/>
            </w:pPr>
            <w:r>
              <w:rPr>
                <w:b/>
                <w:bCs/>
                <w:i/>
                <w:iCs/>
              </w:rPr>
              <w:br/>
              <w:t>Nơi nhận:</w:t>
            </w:r>
            <w:r>
              <w:rPr>
                <w:b/>
                <w:bCs/>
                <w:i/>
                <w:iCs/>
              </w:rPr>
              <w:br/>
            </w:r>
            <w:r>
              <w:rPr>
                <w:i/>
                <w:iCs/>
                <w:sz w:val="16"/>
              </w:rPr>
              <w:t>Gửi bản giấy và điện tử:</w:t>
            </w:r>
            <w:r>
              <w:rPr>
                <w:sz w:val="16"/>
              </w:rPr>
              <w:br/>
              <w:t>- Bộ LĐ-TBXH (báo cáo);</w:t>
            </w:r>
            <w:r>
              <w:rPr>
                <w:sz w:val="16"/>
              </w:rPr>
              <w:br/>
              <w:t>- Tổng cục GDNN;</w:t>
            </w:r>
            <w:r>
              <w:rPr>
                <w:sz w:val="16"/>
              </w:rPr>
              <w:br/>
              <w:t>- Sở LĐTBXH;</w:t>
            </w:r>
            <w:r>
              <w:rPr>
                <w:sz w:val="16"/>
              </w:rPr>
              <w:br/>
            </w:r>
            <w:r>
              <w:rPr>
                <w:i/>
                <w:iCs/>
                <w:sz w:val="16"/>
              </w:rPr>
              <w:t>Gửi bản điện tử:</w:t>
            </w:r>
            <w:r>
              <w:rPr>
                <w:sz w:val="16"/>
              </w:rPr>
              <w:br/>
              <w:t>- Như Điều 3 (t/h);</w:t>
            </w:r>
            <w:r>
              <w:rPr>
                <w:sz w:val="16"/>
              </w:rPr>
              <w:br/>
              <w:t>- CT, PCT UBND tỉnh (ông Hưng);</w:t>
            </w:r>
            <w:r>
              <w:rPr>
                <w:sz w:val="16"/>
              </w:rPr>
              <w:br/>
              <w:t>- Phòng LĐTBXH các huyện, thành phố;</w:t>
            </w:r>
            <w:r>
              <w:rPr>
                <w:sz w:val="16"/>
              </w:rPr>
              <w:br/>
              <w:t>- Các cơ sở Giáo dục nghề nghiệp;</w:t>
            </w:r>
            <w:r>
              <w:rPr>
                <w:sz w:val="16"/>
              </w:rPr>
              <w:br/>
              <w:t>- LĐVP (ông Thất);</w:t>
            </w:r>
            <w:r>
              <w:rPr>
                <w:sz w:val="16"/>
              </w:rPr>
              <w:br/>
              <w:t>- Lưu: VT, VXNV.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2D322E"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Phạm Duy Hưng</w:t>
            </w:r>
          </w:p>
        </w:tc>
      </w:tr>
    </w:tbl>
    <w:p w14:paraId="71368571" w14:textId="77777777" w:rsidR="004B0553" w:rsidRDefault="00000000">
      <w:pPr>
        <w:spacing w:before="120" w:after="280" w:afterAutospacing="1"/>
      </w:pPr>
      <w:r>
        <w:rPr>
          <w:b/>
          <w:bCs/>
        </w:rPr>
        <w:t> </w:t>
      </w:r>
    </w:p>
    <w:sectPr w:rsidR="004B05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C"/>
    <w:rsid w:val="004B0553"/>
    <w:rsid w:val="00556A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5DBA5"/>
  <w15:chartTrackingRefBased/>
  <w15:docId w15:val="{717E7D15-6DF7-4661-B7C9-6D2909A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2022-08-24T07:10:00Z</dcterms:created>
  <dcterms:modified xsi:type="dcterms:W3CDTF">2022-08-24T07:10:00Z</dcterms:modified>
</cp:coreProperties>
</file>