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282E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0E18C2" w14:textId="77777777" w:rsidR="00000000" w:rsidRDefault="000243B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D889B8" w14:textId="77777777" w:rsidR="00000000" w:rsidRDefault="000243B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A4A0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79A293" w14:textId="77777777" w:rsidR="00000000" w:rsidRDefault="000243BA">
            <w:pPr>
              <w:spacing w:before="120"/>
              <w:jc w:val="center"/>
            </w:pPr>
            <w:r>
              <w:rPr>
                <w:lang w:val="vi-VN"/>
              </w:rPr>
              <w:t>Số: 161/2016/NĐ-CP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5E9C72" w14:textId="77777777" w:rsidR="00000000" w:rsidRDefault="000243BA">
            <w:pPr>
              <w:spacing w:before="120"/>
              <w:jc w:val="right"/>
            </w:pPr>
            <w:r>
              <w:rPr>
                <w:i/>
                <w:iCs/>
                <w:lang w:val="vi-VN"/>
              </w:rPr>
              <w:t>Hà Nội, ngày 02 tháng 12 năm 2016</w:t>
            </w:r>
          </w:p>
        </w:tc>
      </w:tr>
    </w:tbl>
    <w:p w14:paraId="1EA8557E" w14:textId="77777777" w:rsidR="00000000" w:rsidRDefault="000243BA">
      <w:pPr>
        <w:spacing w:before="120" w:after="280" w:afterAutospacing="1"/>
      </w:pPr>
      <w:r>
        <w:t> </w:t>
      </w:r>
    </w:p>
    <w:p w14:paraId="3AE4907A" w14:textId="77777777" w:rsidR="00000000" w:rsidRDefault="000243BA">
      <w:pPr>
        <w:spacing w:before="120" w:after="280" w:afterAutospacing="1"/>
        <w:jc w:val="center"/>
      </w:pPr>
      <w:bookmarkStart w:id="1" w:name="loai_1"/>
      <w:r>
        <w:rPr>
          <w:b/>
          <w:bCs/>
          <w:lang w:val="vi-VN"/>
        </w:rPr>
        <w:t>NGHỊ ĐỊNH</w:t>
      </w:r>
      <w:bookmarkEnd w:id="1"/>
    </w:p>
    <w:p w14:paraId="6D8759A8" w14:textId="77777777" w:rsidR="00000000" w:rsidRDefault="000243BA">
      <w:pPr>
        <w:spacing w:before="120" w:after="280" w:afterAutospacing="1"/>
        <w:jc w:val="center"/>
      </w:pPr>
      <w:bookmarkStart w:id="2" w:name="loai_1_name"/>
      <w:r>
        <w:rPr>
          <w:lang w:val="vi-VN"/>
        </w:rPr>
        <w:t>CƠ CHẾ ĐẶC THÙ TRONG QUẢN LÝ ĐẦU TƯ XÂY DỰNG ĐỐI VỚI MỘT SỐ DỰ ÁN THUỘC CÁC CHƯƠNG TRÌNH MỤ</w:t>
      </w:r>
      <w:r>
        <w:rPr>
          <w:lang w:val="vi-VN"/>
        </w:rPr>
        <w:t>C TIÊU QUỐC GIA GIAI ĐOẠN 2016 - 2020</w:t>
      </w:r>
      <w:bookmarkEnd w:id="2"/>
    </w:p>
    <w:p w14:paraId="7C876ADA" w14:textId="77777777" w:rsidR="00000000" w:rsidRDefault="000243BA">
      <w:pPr>
        <w:spacing w:before="120" w:after="280" w:afterAutospacing="1"/>
      </w:pPr>
      <w:r>
        <w:rPr>
          <w:i/>
          <w:iCs/>
          <w:lang w:val="vi-VN"/>
        </w:rPr>
        <w:t>Căn cứ Luật Tổ chức Chính phủ ngày 19 tháng 6 năm 2015;</w:t>
      </w:r>
    </w:p>
    <w:p w14:paraId="721B31E4" w14:textId="77777777" w:rsidR="00000000" w:rsidRDefault="000243BA">
      <w:pPr>
        <w:spacing w:before="120" w:after="280" w:afterAutospacing="1"/>
      </w:pPr>
      <w:r>
        <w:rPr>
          <w:i/>
          <w:iCs/>
          <w:lang w:val="vi-VN"/>
        </w:rPr>
        <w:t>Căn cứ Luật Đấu thầu ngày 26 tháng 11 năm 2013;</w:t>
      </w:r>
    </w:p>
    <w:p w14:paraId="1855EC0B" w14:textId="77777777" w:rsidR="00000000" w:rsidRDefault="000243BA">
      <w:pPr>
        <w:spacing w:before="120" w:after="280" w:afterAutospacing="1"/>
      </w:pPr>
      <w:r>
        <w:rPr>
          <w:i/>
          <w:iCs/>
          <w:lang w:val="vi-VN"/>
        </w:rPr>
        <w:t>Căn cứ Luật Đầu tư công ngày 18 tháng 6 năm 2014;</w:t>
      </w:r>
    </w:p>
    <w:p w14:paraId="334D3159" w14:textId="77777777" w:rsidR="00000000" w:rsidRDefault="000243BA">
      <w:pPr>
        <w:spacing w:before="120" w:after="280" w:afterAutospacing="1"/>
      </w:pPr>
      <w:r>
        <w:rPr>
          <w:i/>
          <w:iCs/>
          <w:lang w:val="vi-VN"/>
        </w:rPr>
        <w:t>Căn cứ Luật Xây dựng ngày 18 tháng 6 năm 2014;</w:t>
      </w:r>
    </w:p>
    <w:p w14:paraId="336AE485" w14:textId="77777777" w:rsidR="00000000" w:rsidRDefault="000243BA">
      <w:pPr>
        <w:spacing w:before="120" w:after="280" w:afterAutospacing="1"/>
      </w:pPr>
      <w:r>
        <w:rPr>
          <w:i/>
          <w:iCs/>
          <w:lang w:val="vi-VN"/>
        </w:rPr>
        <w:t>Căn cứ Nghị qu</w:t>
      </w:r>
      <w:r>
        <w:rPr>
          <w:i/>
          <w:iCs/>
        </w:rPr>
        <w:t>y</w:t>
      </w:r>
      <w:r>
        <w:rPr>
          <w:i/>
          <w:iCs/>
          <w:lang w:val="vi-VN"/>
        </w:rPr>
        <w:t>ết</w:t>
      </w:r>
      <w:r>
        <w:rPr>
          <w:i/>
          <w:iCs/>
          <w:lang w:val="vi-VN"/>
        </w:rPr>
        <w:t xml:space="preserve"> số 100/2015/QH13 của Quốc hội Khóa XIII ngày 12 </w:t>
      </w:r>
      <w:r>
        <w:rPr>
          <w:i/>
          <w:iCs/>
        </w:rPr>
        <w:t xml:space="preserve">tháng 11 </w:t>
      </w:r>
      <w:r>
        <w:rPr>
          <w:i/>
          <w:iCs/>
          <w:lang w:val="vi-VN"/>
        </w:rPr>
        <w:t>năm 2015 về phê duyệt chủ trương đầu tư các chương trình mục tiêu quốc gia giai đoạn 2016 - 2020;</w:t>
      </w:r>
    </w:p>
    <w:p w14:paraId="26CD9D35" w14:textId="77777777" w:rsidR="00000000" w:rsidRDefault="000243BA">
      <w:pPr>
        <w:spacing w:before="120" w:after="280" w:afterAutospacing="1"/>
      </w:pPr>
      <w:r>
        <w:rPr>
          <w:i/>
          <w:iCs/>
          <w:lang w:val="vi-VN"/>
        </w:rPr>
        <w:t>Theo đề nghị của Bộ trưởng Bộ Kế hoạch và Đầu tư,</w:t>
      </w:r>
    </w:p>
    <w:p w14:paraId="3914BA65" w14:textId="77777777" w:rsidR="00000000" w:rsidRDefault="000243BA">
      <w:pPr>
        <w:spacing w:before="120" w:after="280" w:afterAutospacing="1"/>
      </w:pPr>
      <w:r>
        <w:rPr>
          <w:i/>
          <w:iCs/>
          <w:lang w:val="vi-VN"/>
        </w:rPr>
        <w:t xml:space="preserve">Chính phủ ban hành Nghị định Cơ chế đặc thù trong </w:t>
      </w:r>
      <w:r>
        <w:rPr>
          <w:i/>
          <w:iCs/>
          <w:lang w:val="vi-VN"/>
        </w:rPr>
        <w:t xml:space="preserve">quản </w:t>
      </w:r>
      <w:r>
        <w:rPr>
          <w:i/>
          <w:iCs/>
        </w:rPr>
        <w:t xml:space="preserve">lý </w:t>
      </w:r>
      <w:r>
        <w:rPr>
          <w:i/>
          <w:iCs/>
          <w:lang w:val="vi-VN"/>
        </w:rPr>
        <w:t>đầu tư xây dựng đối với một s</w:t>
      </w:r>
      <w:r>
        <w:rPr>
          <w:i/>
          <w:iCs/>
        </w:rPr>
        <w:t xml:space="preserve">ố </w:t>
      </w:r>
      <w:r>
        <w:rPr>
          <w:i/>
          <w:iCs/>
          <w:lang w:val="vi-VN"/>
        </w:rPr>
        <w:t>dự án thuộc các chương trình mục tiêu quốc gia giai đoạn 2016 - 2020.</w:t>
      </w:r>
    </w:p>
    <w:p w14:paraId="6B3F7ABF" w14:textId="77777777" w:rsidR="00000000" w:rsidRDefault="000243BA">
      <w:pPr>
        <w:spacing w:before="120" w:after="280" w:afterAutospacing="1"/>
      </w:pPr>
      <w:bookmarkStart w:id="3" w:name="chuong_1"/>
      <w:r>
        <w:rPr>
          <w:b/>
          <w:bCs/>
          <w:lang w:val="vi-VN"/>
        </w:rPr>
        <w:t>Chương I</w:t>
      </w:r>
      <w:bookmarkEnd w:id="3"/>
    </w:p>
    <w:p w14:paraId="7D54EB37" w14:textId="77777777" w:rsidR="00000000" w:rsidRDefault="000243BA">
      <w:pPr>
        <w:spacing w:before="120" w:after="280" w:afterAutospacing="1"/>
        <w:jc w:val="center"/>
      </w:pPr>
      <w:bookmarkStart w:id="4" w:name="chuong_1_name"/>
      <w:r>
        <w:rPr>
          <w:b/>
          <w:bCs/>
          <w:lang w:val="vi-VN"/>
        </w:rPr>
        <w:t>NHỮNG QUY ĐỊNH CHUNG</w:t>
      </w:r>
      <w:bookmarkEnd w:id="4"/>
    </w:p>
    <w:p w14:paraId="3DD0AAAC" w14:textId="77777777" w:rsidR="00000000" w:rsidRDefault="000243BA">
      <w:pPr>
        <w:spacing w:before="120" w:after="280" w:afterAutospacing="1"/>
      </w:pPr>
      <w:bookmarkStart w:id="5" w:name="dieu_1"/>
      <w:r>
        <w:rPr>
          <w:b/>
          <w:bCs/>
          <w:lang w:val="vi-VN"/>
        </w:rPr>
        <w:t>Điều 1. Phạm vi điều chỉnh và đối tượng áp dụng</w:t>
      </w:r>
      <w:bookmarkEnd w:id="5"/>
    </w:p>
    <w:p w14:paraId="09304E8C" w14:textId="77777777" w:rsidR="00000000" w:rsidRDefault="000243BA">
      <w:pPr>
        <w:spacing w:before="120" w:after="280" w:afterAutospacing="1"/>
      </w:pPr>
      <w:r>
        <w:rPr>
          <w:lang w:val="vi-VN"/>
        </w:rPr>
        <w:t>1. Nghị định này quy định cơ chế đặc thù trong quản lý đầu tư xây dựn</w:t>
      </w:r>
      <w:r>
        <w:rPr>
          <w:lang w:val="vi-VN"/>
        </w:rPr>
        <w:t xml:space="preserve">g đối với một số dự án thuộc các chương trình mục tiêu quốc gia giai đoạn 2016 - 2020 có quy mô nhỏ, kỹ thuật không phức tạp, Nhà nước hỗ trợ đầu tư một phần, phần còn lại do nhân dân đóng góp (gọi tắt là dự án nhóm </w:t>
      </w:r>
      <w:r>
        <w:t xml:space="preserve">C </w:t>
      </w:r>
      <w:r>
        <w:rPr>
          <w:lang w:val="vi-VN"/>
        </w:rPr>
        <w:t>quy mô nhỏ).</w:t>
      </w:r>
    </w:p>
    <w:p w14:paraId="1D41FDF8" w14:textId="77777777" w:rsidR="00000000" w:rsidRDefault="000243BA">
      <w:pPr>
        <w:spacing w:before="120" w:after="280" w:afterAutospacing="1"/>
      </w:pPr>
      <w:r>
        <w:rPr>
          <w:lang w:val="vi-VN"/>
        </w:rPr>
        <w:t xml:space="preserve">2. Nghị định này áp dụng </w:t>
      </w:r>
      <w:r>
        <w:rPr>
          <w:lang w:val="vi-VN"/>
        </w:rPr>
        <w:t>đối với các cơ quan, tổ chức, cá nhân có liên quan trong thực hiện các chương trình mục tiêu quốc gia giai đoạn 2016 - 2020.</w:t>
      </w:r>
    </w:p>
    <w:p w14:paraId="07B8D3E9" w14:textId="77777777" w:rsidR="00000000" w:rsidRDefault="000243BA">
      <w:pPr>
        <w:spacing w:after="280" w:afterAutospacing="1"/>
      </w:pPr>
      <w:r>
        <w:rPr>
          <w:b/>
          <w:bCs/>
        </w:rPr>
        <w:t> </w:t>
      </w:r>
    </w:p>
    <w:p w14:paraId="58A649B1" w14:textId="77777777" w:rsidR="00000000" w:rsidRDefault="000243BA">
      <w:pPr>
        <w:spacing w:after="280" w:afterAutospacing="1"/>
      </w:pPr>
      <w:bookmarkStart w:id="6" w:name="dieu_2"/>
      <w:r>
        <w:rPr>
          <w:b/>
          <w:bCs/>
        </w:rPr>
        <w:t>Điều 2. Tiêu chí dự án nhóm C quy mô nhỏ</w:t>
      </w:r>
      <w:bookmarkEnd w:id="6"/>
    </w:p>
    <w:p w14:paraId="7E65E00B" w14:textId="77777777" w:rsidR="00000000" w:rsidRDefault="000243BA">
      <w:pPr>
        <w:spacing w:before="120" w:after="280" w:afterAutospacing="1"/>
      </w:pPr>
      <w:r>
        <w:rPr>
          <w:lang w:val="vi-VN"/>
        </w:rPr>
        <w:lastRenderedPageBreak/>
        <w:t xml:space="preserve">Dự án nhóm </w:t>
      </w:r>
      <w:r>
        <w:t xml:space="preserve">C </w:t>
      </w:r>
      <w:r>
        <w:rPr>
          <w:lang w:val="vi-VN"/>
        </w:rPr>
        <w:t>quy mô nhỏ theo quy định của Khoản 1, Điều 1, Nghị định này phải đảm bảo cá</w:t>
      </w:r>
      <w:r>
        <w:rPr>
          <w:lang w:val="vi-VN"/>
        </w:rPr>
        <w:t>c tiêu chí sau:</w:t>
      </w:r>
    </w:p>
    <w:p w14:paraId="2550F08C" w14:textId="77777777" w:rsidR="00000000" w:rsidRDefault="000243BA">
      <w:pPr>
        <w:spacing w:before="120" w:after="280" w:afterAutospacing="1"/>
      </w:pPr>
      <w:r>
        <w:rPr>
          <w:lang w:val="vi-VN"/>
        </w:rPr>
        <w:t>1. Thuộc nội dung đầu tư của các chương trình mục tiêu quốc gia giai đoạn 2016 - 2020</w:t>
      </w:r>
      <w:r>
        <w:t>.</w:t>
      </w:r>
    </w:p>
    <w:p w14:paraId="2D28E9BA" w14:textId="77777777" w:rsidR="00000000" w:rsidRDefault="000243BA">
      <w:pPr>
        <w:spacing w:before="120" w:after="280" w:afterAutospacing="1"/>
      </w:pPr>
      <w:r>
        <w:rPr>
          <w:lang w:val="vi-VN"/>
        </w:rPr>
        <w:t>2. Tổng mức đầu tư dưới 05 tỷ đồng.</w:t>
      </w:r>
    </w:p>
    <w:p w14:paraId="159B4742" w14:textId="77777777" w:rsidR="00000000" w:rsidRDefault="000243BA">
      <w:pPr>
        <w:spacing w:before="120" w:after="280" w:afterAutospacing="1"/>
      </w:pPr>
      <w:r>
        <w:rPr>
          <w:lang w:val="vi-VN"/>
        </w:rPr>
        <w:t>3. Dự án nằm trên địa bàn 01 xã và do Ủy ban nhân dân xã quản lý.</w:t>
      </w:r>
    </w:p>
    <w:p w14:paraId="01097BC8" w14:textId="77777777" w:rsidR="00000000" w:rsidRDefault="000243BA">
      <w:pPr>
        <w:spacing w:before="120" w:after="280" w:afterAutospacing="1"/>
      </w:pPr>
      <w:r>
        <w:rPr>
          <w:lang w:val="vi-VN"/>
        </w:rPr>
        <w:t xml:space="preserve">4. Kỹ thuật không phức tạp, có thiết kế mẫu, thiết </w:t>
      </w:r>
      <w:r>
        <w:rPr>
          <w:lang w:val="vi-VN"/>
        </w:rPr>
        <w:t>kế điển hình.</w:t>
      </w:r>
    </w:p>
    <w:p w14:paraId="63DE6219" w14:textId="77777777" w:rsidR="00000000" w:rsidRDefault="000243BA">
      <w:pPr>
        <w:spacing w:before="120" w:after="280" w:afterAutospacing="1"/>
      </w:pPr>
      <w:r>
        <w:rPr>
          <w:lang w:val="vi-VN"/>
        </w:rPr>
        <w:t>5. Sử dụng một phần ngân sách Nhà nước, phần kinh phí còn lại do nhân dân đóng góp và các nguồn khác, có sự tham gia thực hiện và giám sát của người dân. Phần kinh phí đóng góp của nhân dân có thể bằng tiền hoặc hiện vật, ngày công lao động đ</w:t>
      </w:r>
      <w:r>
        <w:rPr>
          <w:lang w:val="vi-VN"/>
        </w:rPr>
        <w:t>ược quy đổi thành tiền.</w:t>
      </w:r>
    </w:p>
    <w:p w14:paraId="65664CFF" w14:textId="77777777" w:rsidR="00000000" w:rsidRDefault="000243BA">
      <w:pPr>
        <w:spacing w:before="120" w:after="280" w:afterAutospacing="1"/>
      </w:pPr>
      <w:r>
        <w:rPr>
          <w:lang w:val="vi-VN"/>
        </w:rPr>
        <w:t>6. Thuộc danh mục loại dự án được áp dụng cơ chế đặc thù do Ủy ban nhân dân cấp tỉnh ban hành.</w:t>
      </w:r>
    </w:p>
    <w:p w14:paraId="20A4B7DE" w14:textId="77777777" w:rsidR="00000000" w:rsidRDefault="000243BA">
      <w:pPr>
        <w:spacing w:before="120" w:after="280" w:afterAutospacing="1"/>
      </w:pPr>
      <w:bookmarkStart w:id="7" w:name="chuong_2"/>
      <w:r>
        <w:rPr>
          <w:b/>
          <w:bCs/>
          <w:lang w:val="vi-VN"/>
        </w:rPr>
        <w:t>Chương II</w:t>
      </w:r>
      <w:bookmarkEnd w:id="7"/>
    </w:p>
    <w:p w14:paraId="6A2E8255" w14:textId="77777777" w:rsidR="00000000" w:rsidRDefault="000243BA">
      <w:pPr>
        <w:spacing w:before="120" w:after="280" w:afterAutospacing="1"/>
        <w:jc w:val="center"/>
      </w:pPr>
      <w:bookmarkStart w:id="8" w:name="chuong_2_name"/>
      <w:r>
        <w:rPr>
          <w:b/>
          <w:bCs/>
          <w:lang w:val="vi-VN"/>
        </w:rPr>
        <w:t>QUY ĐỊNH CỤ THỂ</w:t>
      </w:r>
      <w:bookmarkEnd w:id="8"/>
    </w:p>
    <w:p w14:paraId="154AEA0C" w14:textId="77777777" w:rsidR="00000000" w:rsidRDefault="000243BA">
      <w:pPr>
        <w:spacing w:before="120" w:after="280" w:afterAutospacing="1"/>
      </w:pPr>
      <w:bookmarkStart w:id="9" w:name="dieu_3"/>
      <w:r>
        <w:rPr>
          <w:b/>
          <w:bCs/>
          <w:lang w:val="vi-VN"/>
        </w:rPr>
        <w:t>Điều 3. Thẩm định nguồn vốn và khả năng cân đối vốn ngân sách Trung ương, vốn trái phiếu Chính phủ, vốn công tr</w:t>
      </w:r>
      <w:r>
        <w:rPr>
          <w:b/>
          <w:bCs/>
          <w:lang w:val="vi-VN"/>
        </w:rPr>
        <w:t>ái quốc gia, vốn ODA (gọi tắt là vốn ngân sách Trung ương) đối với dự án nhóm C quy mô nhỏ</w:t>
      </w:r>
      <w:bookmarkEnd w:id="9"/>
    </w:p>
    <w:p w14:paraId="760188CD" w14:textId="77777777" w:rsidR="00000000" w:rsidRDefault="000243BA">
      <w:pPr>
        <w:spacing w:before="120" w:after="280" w:afterAutospacing="1"/>
      </w:pPr>
      <w:r>
        <w:rPr>
          <w:lang w:val="vi-VN"/>
        </w:rPr>
        <w:t>1. Căn cứ thông báo của Trung ương về số vốn trung hạn hoặc hàng năm, Ủy ban nhân dân cấp tỉnh tổ chức thẩm định nguồn vốn và khả năng cân đối vốn ngân sách Trung ươ</w:t>
      </w:r>
      <w:r>
        <w:rPr>
          <w:lang w:val="vi-VN"/>
        </w:rPr>
        <w:t xml:space="preserve">ng đối với danh mục các dự án nhóm </w:t>
      </w:r>
      <w:r>
        <w:t xml:space="preserve">C </w:t>
      </w:r>
      <w:r>
        <w:rPr>
          <w:lang w:val="vi-VN"/>
        </w:rPr>
        <w:t>quy mô nhỏ, không thẩm định từng dự án riêng lẻ. Căn cứ báo cáo thẩm định nguồn vốn và khả năng cân đối vốn của Sở Kế hoạch và Đầu tư, Ủy ban nhân dân cấp tỉnh quyết định chủ trương đầu tư của toàn bộ danh mục dự án.</w:t>
      </w:r>
    </w:p>
    <w:p w14:paraId="33EA1463" w14:textId="77777777" w:rsidR="00000000" w:rsidRDefault="000243BA">
      <w:pPr>
        <w:spacing w:before="120" w:after="280" w:afterAutospacing="1"/>
      </w:pPr>
      <w:r>
        <w:rPr>
          <w:lang w:val="vi-VN"/>
        </w:rPr>
        <w:t>2.</w:t>
      </w:r>
      <w:r>
        <w:rPr>
          <w:lang w:val="vi-VN"/>
        </w:rPr>
        <w:t xml:space="preserve"> Cân đối mức vốn cho dự án khởi công mới phải đáp ứng các yêu cầu tại </w:t>
      </w:r>
      <w:bookmarkStart w:id="10" w:name="dc_1"/>
      <w:r>
        <w:rPr>
          <w:lang w:val="vi-VN"/>
        </w:rPr>
        <w:t>Khoản 5, Điều 54, Luật Đầu tư công</w:t>
      </w:r>
      <w:bookmarkEnd w:id="10"/>
      <w:r>
        <w:rPr>
          <w:lang w:val="vi-VN"/>
        </w:rPr>
        <w:t>.</w:t>
      </w:r>
    </w:p>
    <w:p w14:paraId="361CF3CE" w14:textId="77777777" w:rsidR="00000000" w:rsidRDefault="000243BA">
      <w:pPr>
        <w:spacing w:before="120" w:after="280" w:afterAutospacing="1"/>
      </w:pPr>
      <w:r>
        <w:rPr>
          <w:lang w:val="vi-VN"/>
        </w:rPr>
        <w:t xml:space="preserve">3. Ủy ban nhân dân cấp tỉnh gửi báo cáo tổng hợp kết quả thẩm định nguồn vốn và khả năng cân đối vốn ngân sách Trung ương các dự án khởi công mới của </w:t>
      </w:r>
      <w:r>
        <w:rPr>
          <w:lang w:val="vi-VN"/>
        </w:rPr>
        <w:t>từng chương trình mục tiêu quốc gia (gọi tắt là báo cáo tổng hợp kết quả thẩm định) tới Bộ Kế hoạch và Đầu tư, Bộ Tài chính và Chủ chương trình mục tiêu quốc gia để theo dõi và giám sát. Thời gian báo cáo chậm nhất không quá 30 ngày sau khi Ủy ban nhân dân</w:t>
      </w:r>
      <w:r>
        <w:rPr>
          <w:lang w:val="vi-VN"/>
        </w:rPr>
        <w:t xml:space="preserve"> cấp tỉnh phân bổ vốn ngân sách Trung ương cho các dự án khởi công mới trong kế hoạch hàng năm. Nội dung báo cáo tổng hợp kết quả thẩm định gồm các nội dung sau:</w:t>
      </w:r>
    </w:p>
    <w:p w14:paraId="0FC1F783" w14:textId="77777777" w:rsidR="00000000" w:rsidRDefault="000243BA">
      <w:pPr>
        <w:spacing w:before="120" w:after="280" w:afterAutospacing="1"/>
      </w:pPr>
      <w:r>
        <w:rPr>
          <w:lang w:val="vi-VN"/>
        </w:rPr>
        <w:t xml:space="preserve">a) </w:t>
      </w:r>
      <w:r>
        <w:t>V</w:t>
      </w:r>
      <w:r>
        <w:rPr>
          <w:lang w:val="vi-VN"/>
        </w:rPr>
        <w:t>ề nguồn vốn: Sự phù h</w:t>
      </w:r>
      <w:r>
        <w:t>ợ</w:t>
      </w:r>
      <w:r>
        <w:rPr>
          <w:lang w:val="vi-VN"/>
        </w:rPr>
        <w:t>p của các dự án đối với nguồn vốn đầu tư, mục tiêu, đối tượng của ch</w:t>
      </w:r>
      <w:r>
        <w:rPr>
          <w:lang w:val="vi-VN"/>
        </w:rPr>
        <w:t>ương trình;</w:t>
      </w:r>
    </w:p>
    <w:p w14:paraId="1F410F9E" w14:textId="77777777" w:rsidR="00000000" w:rsidRDefault="000243BA">
      <w:pPr>
        <w:spacing w:before="120" w:after="280" w:afterAutospacing="1"/>
      </w:pPr>
      <w:r>
        <w:rPr>
          <w:lang w:val="vi-VN"/>
        </w:rPr>
        <w:lastRenderedPageBreak/>
        <w:t xml:space="preserve">b) </w:t>
      </w:r>
      <w:r>
        <w:t>V</w:t>
      </w:r>
      <w:r>
        <w:rPr>
          <w:lang w:val="vi-VN"/>
        </w:rPr>
        <w:t>ề cân đối vốn: Khả năng b</w:t>
      </w:r>
      <w:r>
        <w:t xml:space="preserve">ố </w:t>
      </w:r>
      <w:r>
        <w:rPr>
          <w:lang w:val="vi-VN"/>
        </w:rPr>
        <w:t xml:space="preserve">trí vốn cho các dự án trong tổng số vốn kế hoạch đầu tư trung hạn hoặc hàng năm của chương trình, sắp xếp thứ tự </w:t>
      </w:r>
      <w:r>
        <w:t xml:space="preserve">ưu </w:t>
      </w:r>
      <w:r>
        <w:rPr>
          <w:lang w:val="vi-VN"/>
        </w:rPr>
        <w:t>tiên theo quy định của pháp luật;</w:t>
      </w:r>
    </w:p>
    <w:p w14:paraId="1E00EEA0" w14:textId="77777777" w:rsidR="00000000" w:rsidRDefault="000243BA">
      <w:pPr>
        <w:spacing w:before="120" w:after="280" w:afterAutospacing="1"/>
      </w:pPr>
      <w:r>
        <w:rPr>
          <w:lang w:val="vi-VN"/>
        </w:rPr>
        <w:t xml:space="preserve">c) Danh mục các dự án được thẩm định: Tên dự án, địa điểm, quy </w:t>
      </w:r>
      <w:r>
        <w:rPr>
          <w:lang w:val="vi-VN"/>
        </w:rPr>
        <w:t>mô, tổng mức đầu tư (ngân sách Trung ương, ngân sách địa phương, dân góp, các nguồn khác ...), thời gian và hình thức thực hiện.</w:t>
      </w:r>
    </w:p>
    <w:p w14:paraId="24CF3BE1" w14:textId="77777777" w:rsidR="00000000" w:rsidRDefault="000243BA">
      <w:pPr>
        <w:spacing w:before="120" w:after="280" w:afterAutospacing="1"/>
      </w:pPr>
      <w:bookmarkStart w:id="11" w:name="dieu_4"/>
      <w:r>
        <w:rPr>
          <w:b/>
          <w:bCs/>
          <w:lang w:val="vi-VN"/>
        </w:rPr>
        <w:t>Điều 4. Lập hồ sơ xây dựng công trình</w:t>
      </w:r>
      <w:bookmarkEnd w:id="11"/>
    </w:p>
    <w:p w14:paraId="3D38F2B7" w14:textId="77777777" w:rsidR="00000000" w:rsidRDefault="000243BA">
      <w:pPr>
        <w:spacing w:before="120" w:after="280" w:afterAutospacing="1"/>
      </w:pPr>
      <w:r>
        <w:rPr>
          <w:lang w:val="vi-VN"/>
        </w:rPr>
        <w:t>1. Các dự án được áp dụng cơ chế đầu tư đặc thù lập hồ sơ xây dựng công trình đơn giản (g</w:t>
      </w:r>
      <w:r>
        <w:rPr>
          <w:lang w:val="vi-VN"/>
        </w:rPr>
        <w:t>ọi tắt là hồ sơ xây dựng công trình) thay cho báo cáo kinh tế - kỹ thuật đầu tư xây dựng.</w:t>
      </w:r>
    </w:p>
    <w:p w14:paraId="4CC4375D" w14:textId="77777777" w:rsidR="00000000" w:rsidRDefault="000243BA">
      <w:pPr>
        <w:spacing w:before="120" w:after="280" w:afterAutospacing="1"/>
      </w:pPr>
      <w:r>
        <w:rPr>
          <w:lang w:val="vi-VN"/>
        </w:rPr>
        <w:t>2. Nội dung của hồ sơ xây dựng công trình:</w:t>
      </w:r>
    </w:p>
    <w:p w14:paraId="1E8CBF4E" w14:textId="77777777" w:rsidR="00000000" w:rsidRDefault="000243BA">
      <w:pPr>
        <w:spacing w:before="120" w:after="280" w:afterAutospacing="1"/>
      </w:pPr>
      <w:r>
        <w:rPr>
          <w:lang w:val="vi-VN"/>
        </w:rPr>
        <w:t xml:space="preserve">a) Tên dự án, mục tiêu đầu tư, địa điểm xây dựng, chủ đầu tư, quy mô, tiêu chuẩn kỹ thuật theo thiết kế mẫu, thiết kế điển </w:t>
      </w:r>
      <w:r>
        <w:rPr>
          <w:lang w:val="vi-VN"/>
        </w:rPr>
        <w:t>hình đã được cơ quan nhà nước có thẩm quyền ban hành, thời gian thực hiện;</w:t>
      </w:r>
    </w:p>
    <w:p w14:paraId="1893E8FB" w14:textId="77777777" w:rsidR="00000000" w:rsidRDefault="000243BA">
      <w:pPr>
        <w:spacing w:before="120" w:after="280" w:afterAutospacing="1"/>
      </w:pPr>
      <w:r>
        <w:rPr>
          <w:lang w:val="vi-VN"/>
        </w:rPr>
        <w:t xml:space="preserve">b) Tổng mức đầu tư, trong đó gồm kinh phí Nhà nước hỗ trợ (ngân sách Trung ương, ngân sách địa phương các cấp), đóng góp của nhân dân, huy động khác. Bảng kê các chi phí, trong đó, </w:t>
      </w:r>
      <w:r>
        <w:rPr>
          <w:lang w:val="vi-VN"/>
        </w:rPr>
        <w:t>ưu tiên sử dụng vật liệu tại chỗ và đơn giá lập hồ sơ xây dựng công trình được phép áp dụng theo giá thị trường;</w:t>
      </w:r>
    </w:p>
    <w:p w14:paraId="7D5DB042" w14:textId="77777777" w:rsidR="00000000" w:rsidRDefault="000243BA">
      <w:pPr>
        <w:spacing w:before="120" w:after="280" w:afterAutospacing="1"/>
      </w:pPr>
      <w:r>
        <w:rPr>
          <w:lang w:val="vi-VN"/>
        </w:rPr>
        <w:t>c) Bản vẽ thi công (nếu có) theo thiết k</w:t>
      </w:r>
      <w:r>
        <w:t xml:space="preserve">ế </w:t>
      </w:r>
      <w:r>
        <w:rPr>
          <w:lang w:val="vi-VN"/>
        </w:rPr>
        <w:t>mẫu, thiết kế điển hình;</w:t>
      </w:r>
    </w:p>
    <w:p w14:paraId="0E3FD455" w14:textId="77777777" w:rsidR="00000000" w:rsidRDefault="000243BA">
      <w:pPr>
        <w:spacing w:before="120" w:after="280" w:afterAutospacing="1"/>
      </w:pPr>
      <w:r>
        <w:rPr>
          <w:lang w:val="vi-VN"/>
        </w:rPr>
        <w:t>d) Khả năng tự thực hiện của nhân dân, cộng đồng hưởng lợi.</w:t>
      </w:r>
    </w:p>
    <w:p w14:paraId="41C17A33" w14:textId="77777777" w:rsidR="00000000" w:rsidRDefault="000243BA">
      <w:pPr>
        <w:spacing w:before="120" w:after="280" w:afterAutospacing="1"/>
      </w:pPr>
      <w:r>
        <w:rPr>
          <w:lang w:val="vi-VN"/>
        </w:rPr>
        <w:t>3. Ban quản lý t</w:t>
      </w:r>
      <w:r>
        <w:rPr>
          <w:lang w:val="vi-VN"/>
        </w:rPr>
        <w:t>hực hiện Chương trình mục tiêu quốc gia (gọi tắt là Ban quản lý) xã có trách nhiệm lập hồ sơ xây dựng công trình gửi Ủy ban nhân dân xã thẩm định và phê duyệt. Trường hợp Ủy ban nhân dân xã giao cho thôn thực hiện công trình, Ban quản lý cấp thôn (hoặc các</w:t>
      </w:r>
      <w:r>
        <w:rPr>
          <w:lang w:val="vi-VN"/>
        </w:rPr>
        <w:t xml:space="preserve"> tổ chức tương đương được Ủy ban nhân dân xã công nhận) có trách nhiệm lập hồ sơ xây dựng công trình gửi Ủy ban nhân dân xã thẩm định và phê duyệt.</w:t>
      </w:r>
    </w:p>
    <w:p w14:paraId="3679CEA5" w14:textId="77777777" w:rsidR="00000000" w:rsidRDefault="000243BA">
      <w:pPr>
        <w:spacing w:before="120" w:after="280" w:afterAutospacing="1"/>
      </w:pPr>
      <w:bookmarkStart w:id="12" w:name="dieu_5"/>
      <w:r>
        <w:rPr>
          <w:b/>
          <w:bCs/>
          <w:lang w:val="vi-VN"/>
        </w:rPr>
        <w:t>Điều 5. Thẩm định hồ sơ xây dựng công trình</w:t>
      </w:r>
      <w:bookmarkEnd w:id="12"/>
    </w:p>
    <w:p w14:paraId="79F95ACB" w14:textId="77777777" w:rsidR="00000000" w:rsidRDefault="000243BA">
      <w:pPr>
        <w:spacing w:before="120" w:after="280" w:afterAutospacing="1"/>
      </w:pPr>
      <w:r>
        <w:rPr>
          <w:lang w:val="vi-VN"/>
        </w:rPr>
        <w:t>1. Hồ sơ thẩm định gồm: Hồ sơ xây dựng công trình với nội dung q</w:t>
      </w:r>
      <w:r>
        <w:rPr>
          <w:lang w:val="vi-VN"/>
        </w:rPr>
        <w:t xml:space="preserve">uy định tại Khoản 2, Điều 4, Nghị định này; biên bản các cuộc họp của cộng đồng </w:t>
      </w:r>
      <w:r>
        <w:t>v</w:t>
      </w:r>
      <w:r>
        <w:rPr>
          <w:lang w:val="vi-VN"/>
        </w:rPr>
        <w:t>à các văn bản pháp lý liên quan đến xây dựng công trình (</w:t>
      </w:r>
      <w:r>
        <w:t>n</w:t>
      </w:r>
      <w:r>
        <w:rPr>
          <w:lang w:val="vi-VN"/>
        </w:rPr>
        <w:t>ếu có).</w:t>
      </w:r>
    </w:p>
    <w:p w14:paraId="6E1D0931" w14:textId="77777777" w:rsidR="00000000" w:rsidRDefault="000243BA">
      <w:pPr>
        <w:spacing w:before="120" w:after="280" w:afterAutospacing="1"/>
      </w:pPr>
      <w:r>
        <w:rPr>
          <w:lang w:val="vi-VN"/>
        </w:rPr>
        <w:t>2. Cơ quan thẩm định:</w:t>
      </w:r>
    </w:p>
    <w:p w14:paraId="6AF688EC" w14:textId="77777777" w:rsidR="00000000" w:rsidRDefault="000243BA">
      <w:pPr>
        <w:spacing w:before="120" w:after="280" w:afterAutospacing="1"/>
      </w:pPr>
      <w:r>
        <w:rPr>
          <w:lang w:val="vi-VN"/>
        </w:rPr>
        <w:t>a) Ủy ban nhân dân xã có trách nhiệm thẩm định hồ sơ xây dựng công trình. Chủ tịch Ủy b</w:t>
      </w:r>
      <w:r>
        <w:rPr>
          <w:lang w:val="vi-VN"/>
        </w:rPr>
        <w:t>an nhân dân xã thành lập tổ thẩm định, gồm: Lãnh đạo Ủy ban nhân dân xã làm Tổ trưởng, đại diện ban giám sát đầu tư của cộng đồng xã, tài chính - kế toán xã, chuyên gia hoặc những người có trình độ chuyên môn do cộng đồng bình chọn;</w:t>
      </w:r>
    </w:p>
    <w:p w14:paraId="0EEFA3C6" w14:textId="77777777" w:rsidR="00000000" w:rsidRDefault="000243BA">
      <w:pPr>
        <w:spacing w:before="120" w:after="280" w:afterAutospacing="1"/>
      </w:pPr>
      <w:r>
        <w:rPr>
          <w:lang w:val="vi-VN"/>
        </w:rPr>
        <w:lastRenderedPageBreak/>
        <w:t>b) Trường hợp Ủy ban nh</w:t>
      </w:r>
      <w:r>
        <w:rPr>
          <w:lang w:val="vi-VN"/>
        </w:rPr>
        <w:t>ân dân xã không đủ năng lực thì Ủy ban nhân dân cấp huyện giao cơ quan chuyên môn của huyện thẩm định.</w:t>
      </w:r>
    </w:p>
    <w:p w14:paraId="1A6A94E9" w14:textId="77777777" w:rsidR="00000000" w:rsidRDefault="000243BA">
      <w:pPr>
        <w:spacing w:before="120" w:after="280" w:afterAutospacing="1"/>
      </w:pPr>
      <w:r>
        <w:rPr>
          <w:lang w:val="vi-VN"/>
        </w:rPr>
        <w:t>3. Nội dung thẩm định:</w:t>
      </w:r>
    </w:p>
    <w:p w14:paraId="05DF680B" w14:textId="77777777" w:rsidR="00000000" w:rsidRDefault="000243BA">
      <w:pPr>
        <w:spacing w:before="120" w:after="280" w:afterAutospacing="1"/>
      </w:pPr>
      <w:r>
        <w:rPr>
          <w:lang w:val="vi-VN"/>
        </w:rPr>
        <w:t>a) Đánh giá sự phù hợp của dự án với quy hoạch xây dựng, quy hoạch sử dụng đất của địa phương, các quy hoạch xây dựng và đề án xây</w:t>
      </w:r>
      <w:r>
        <w:rPr>
          <w:lang w:val="vi-VN"/>
        </w:rPr>
        <w:t xml:space="preserve"> dựng nông thôn mới cấp xã;</w:t>
      </w:r>
    </w:p>
    <w:p w14:paraId="66A726B7" w14:textId="77777777" w:rsidR="00000000" w:rsidRDefault="000243BA">
      <w:pPr>
        <w:spacing w:before="120" w:after="280" w:afterAutospacing="1"/>
      </w:pPr>
      <w:r>
        <w:rPr>
          <w:lang w:val="vi-VN"/>
        </w:rPr>
        <w:t>b) Đánh giá sự phù hợp của thiết kế mẫu, thiết kế điển hình với điều kiện thực tế của mặt bằng thi công công trình;</w:t>
      </w:r>
    </w:p>
    <w:p w14:paraId="35852794" w14:textId="77777777" w:rsidR="00000000" w:rsidRDefault="000243BA">
      <w:pPr>
        <w:spacing w:before="120" w:after="280" w:afterAutospacing="1"/>
      </w:pPr>
      <w:r>
        <w:rPr>
          <w:lang w:val="vi-VN"/>
        </w:rPr>
        <w:t>c) Tính khả thi về kỹ thuật, khả năng tự thực hiện của nhân dân và cộng đồng được giao thi công;</w:t>
      </w:r>
    </w:p>
    <w:p w14:paraId="504C1E39" w14:textId="77777777" w:rsidR="00000000" w:rsidRDefault="000243BA">
      <w:pPr>
        <w:spacing w:before="120" w:after="280" w:afterAutospacing="1"/>
      </w:pPr>
      <w:r>
        <w:rPr>
          <w:lang w:val="vi-VN"/>
        </w:rPr>
        <w:t>d) Chủ trương đ</w:t>
      </w:r>
      <w:r>
        <w:rPr>
          <w:lang w:val="vi-VN"/>
        </w:rPr>
        <w:t>ầu tư và khả năng huy động vốn (Nhà nước, đóng góp của nhân dân, các nguồn lực khác) theo quyết định phê duyệt chủ trương đầu tư và báo cáo thẩm định nguồn vốn và mức vốn ngân sách Nhà nước (đối với dự án được đầu tư từ phần vốn ngân sách Nhà nước không th</w:t>
      </w:r>
      <w:r>
        <w:rPr>
          <w:lang w:val="vi-VN"/>
        </w:rPr>
        <w:t>uộc ngân sách cấp xã trực tiếp đầu tư);</w:t>
      </w:r>
    </w:p>
    <w:p w14:paraId="13305929" w14:textId="77777777" w:rsidR="00000000" w:rsidRDefault="000243BA">
      <w:pPr>
        <w:spacing w:before="120" w:after="280" w:afterAutospacing="1"/>
      </w:pPr>
      <w:r>
        <w:rPr>
          <w:lang w:val="vi-VN"/>
        </w:rPr>
        <w:t>đ) Tính hợp lý của các chi phí so với mặt bằng giá của địa phương (giá thị trường), với các dự án tương tự khác đã và đang thực hiện (nếu có).</w:t>
      </w:r>
    </w:p>
    <w:p w14:paraId="40D93550" w14:textId="77777777" w:rsidR="00000000" w:rsidRDefault="000243BA">
      <w:pPr>
        <w:spacing w:before="120" w:after="280" w:afterAutospacing="1"/>
      </w:pPr>
      <w:r>
        <w:rPr>
          <w:lang w:val="vi-VN"/>
        </w:rPr>
        <w:t>4. Thời gian thẩm định và báo cáo kết quả thẩm định: Cơ quan th</w:t>
      </w:r>
      <w:r>
        <w:t>ẩ</w:t>
      </w:r>
      <w:r>
        <w:rPr>
          <w:lang w:val="vi-VN"/>
        </w:rPr>
        <w:t>m định có</w:t>
      </w:r>
      <w:r>
        <w:rPr>
          <w:lang w:val="vi-VN"/>
        </w:rPr>
        <w:t xml:space="preserve"> báo cáo kết quả thẩm định bằng văn bản tới Ủy ban nhân dân xã; thời gi</w:t>
      </w:r>
      <w:r>
        <w:t>a</w:t>
      </w:r>
      <w:r>
        <w:rPr>
          <w:lang w:val="vi-VN"/>
        </w:rPr>
        <w:t>n không quá 10 ngày làm việc kể từ ngày nhận đủ hồ sơ hợp lệ.</w:t>
      </w:r>
    </w:p>
    <w:p w14:paraId="67DF1979" w14:textId="77777777" w:rsidR="00000000" w:rsidRDefault="000243BA">
      <w:pPr>
        <w:spacing w:before="120" w:after="280" w:afterAutospacing="1"/>
      </w:pPr>
      <w:bookmarkStart w:id="13" w:name="dieu_6"/>
      <w:r>
        <w:rPr>
          <w:b/>
          <w:bCs/>
          <w:lang w:val="vi-VN"/>
        </w:rPr>
        <w:t>Điều 6. Phê duyệt hồ sơ xây dựng công trình</w:t>
      </w:r>
      <w:bookmarkEnd w:id="13"/>
    </w:p>
    <w:p w14:paraId="74E127DF" w14:textId="77777777" w:rsidR="00000000" w:rsidRDefault="000243BA">
      <w:pPr>
        <w:spacing w:before="120" w:after="280" w:afterAutospacing="1"/>
      </w:pPr>
      <w:r>
        <w:rPr>
          <w:lang w:val="vi-VN"/>
        </w:rPr>
        <w:t>Căn cứ ý kiến thẩm định, Ủy ban nhân dân xã chỉ đạo hoàn thiện và phê duyệt hồ</w:t>
      </w:r>
      <w:r>
        <w:rPr>
          <w:lang w:val="vi-VN"/>
        </w:rPr>
        <w:t xml:space="preserve"> sơ xây dựng công trình.</w:t>
      </w:r>
    </w:p>
    <w:p w14:paraId="7CC38BF2" w14:textId="77777777" w:rsidR="00000000" w:rsidRDefault="000243BA">
      <w:pPr>
        <w:spacing w:before="120" w:after="280" w:afterAutospacing="1"/>
      </w:pPr>
      <w:r>
        <w:rPr>
          <w:lang w:val="vi-VN"/>
        </w:rPr>
        <w:t>Điều kiện về thời hạn phê duyệt hồ sơ xây dựng công trình đối với các dự án khởi công mới được bố trí vốn hàng năm: Trước thời điểm giao kế hoạch vốn chi tiết cho dự án.</w:t>
      </w:r>
    </w:p>
    <w:p w14:paraId="74DCBF84" w14:textId="77777777" w:rsidR="00000000" w:rsidRDefault="000243BA">
      <w:pPr>
        <w:spacing w:before="120" w:after="280" w:afterAutospacing="1"/>
      </w:pPr>
      <w:bookmarkStart w:id="14" w:name="dieu_7"/>
      <w:r>
        <w:rPr>
          <w:b/>
          <w:bCs/>
          <w:lang w:val="vi-VN"/>
        </w:rPr>
        <w:t>Điều 7. Lựa chọn nhà thầu theo hình thức tham gia thực hiện c</w:t>
      </w:r>
      <w:r>
        <w:rPr>
          <w:b/>
          <w:bCs/>
          <w:lang w:val="vi-VN"/>
        </w:rPr>
        <w:t>ủa cộng đồng</w:t>
      </w:r>
      <w:bookmarkEnd w:id="14"/>
    </w:p>
    <w:p w14:paraId="53AC2DDA" w14:textId="77777777" w:rsidR="00000000" w:rsidRDefault="000243BA">
      <w:pPr>
        <w:spacing w:before="120" w:after="280" w:afterAutospacing="1"/>
      </w:pPr>
      <w:r>
        <w:rPr>
          <w:lang w:val="vi-VN"/>
        </w:rPr>
        <w:t>1. Hình thức lựa chọn nhà thầu đối với gói thầu thực hiện b</w:t>
      </w:r>
      <w:r>
        <w:t>ở</w:t>
      </w:r>
      <w:r>
        <w:rPr>
          <w:lang w:val="vi-VN"/>
        </w:rPr>
        <w:t>i cộng đồng được phê duyệt trong kế hoạch lựa chọn nhà thầu là: tham gia thực hiện của cộng đồng.</w:t>
      </w:r>
    </w:p>
    <w:p w14:paraId="0F67EAA0" w14:textId="77777777" w:rsidR="00000000" w:rsidRDefault="000243BA">
      <w:pPr>
        <w:spacing w:before="120" w:after="280" w:afterAutospacing="1"/>
      </w:pPr>
      <w:r>
        <w:rPr>
          <w:lang w:val="vi-VN"/>
        </w:rPr>
        <w:t>2. Tư cách hợp lệ của cộng đồng dân cư, tổ chức đoàn thể, tổ, nhóm thợ tại địa phương</w:t>
      </w:r>
      <w:r>
        <w:rPr>
          <w:lang w:val="vi-VN"/>
        </w:rPr>
        <w:t xml:space="preserve"> thực hiện gói thầu:</w:t>
      </w:r>
    </w:p>
    <w:p w14:paraId="20A0BB38" w14:textId="77777777" w:rsidR="00000000" w:rsidRDefault="000243BA">
      <w:pPr>
        <w:spacing w:before="120" w:after="280" w:afterAutospacing="1"/>
      </w:pPr>
      <w:r>
        <w:rPr>
          <w:lang w:val="vi-VN"/>
        </w:rPr>
        <w:t xml:space="preserve">a) Cộng đồng dân cư, tổ chức đoàn thể, tổ, nhóm thợ tại địa phương được coi là có tư cách hợp lệ để tham gia thực hiện các gói thầu quy định tại </w:t>
      </w:r>
      <w:bookmarkStart w:id="15" w:name="dc_2"/>
      <w:r>
        <w:rPr>
          <w:lang w:val="vi-VN"/>
        </w:rPr>
        <w:t>Điều 27 của Luật Đấu thầu</w:t>
      </w:r>
      <w:bookmarkEnd w:id="15"/>
      <w:r>
        <w:rPr>
          <w:lang w:val="vi-VN"/>
        </w:rPr>
        <w:t xml:space="preserve"> khi người dân thuộc cộng đồng dân cư hoặc tổ, nhóm thợ, tổ chức </w:t>
      </w:r>
      <w:r>
        <w:rPr>
          <w:lang w:val="vi-VN"/>
        </w:rPr>
        <w:t>đoàn thể sinh sống, cư trú trên địa bàn triển khai gói thầu và được hưởng lợi từ gói thầu;</w:t>
      </w:r>
    </w:p>
    <w:p w14:paraId="513B0492" w14:textId="77777777" w:rsidR="00000000" w:rsidRDefault="000243BA">
      <w:pPr>
        <w:spacing w:before="120" w:after="280" w:afterAutospacing="1"/>
      </w:pPr>
      <w:r>
        <w:rPr>
          <w:lang w:val="vi-VN"/>
        </w:rPr>
        <w:lastRenderedPageBreak/>
        <w:t xml:space="preserve">b) Người đại diện của cộng đồng dân cư, tổ chức đoàn thể, tổ, nhóm thợ phải có năng lực hành vi dân sự đầy đủ theo quy định pháp luật, không thuộc đối tượng đang bị </w:t>
      </w:r>
      <w:r>
        <w:rPr>
          <w:lang w:val="vi-VN"/>
        </w:rPr>
        <w:t xml:space="preserve">truy cứu </w:t>
      </w:r>
      <w:r>
        <w:t>tr</w:t>
      </w:r>
      <w:r>
        <w:rPr>
          <w:lang w:val="vi-VN"/>
        </w:rPr>
        <w:t>ách nhiệm hình sự, được cộng đồng dân cư, tổ chức đoàn thể, tổ, nhóm thợ lựa chọn để thay mặt cộng đồng dân cư, tổ chức đoàn thể, tổ, nhóm thợ ký kết hợp đồng.</w:t>
      </w:r>
    </w:p>
    <w:p w14:paraId="602B3BD7" w14:textId="77777777" w:rsidR="00000000" w:rsidRDefault="000243BA">
      <w:pPr>
        <w:spacing w:before="120" w:after="280" w:afterAutospacing="1"/>
      </w:pPr>
      <w:r>
        <w:rPr>
          <w:lang w:val="vi-VN"/>
        </w:rPr>
        <w:t>3. Quy trình lựa chọn nhà thầu là cộng đồng dân cư, tổ chức đoàn thể, tổ, nhóm thợ:</w:t>
      </w:r>
    </w:p>
    <w:p w14:paraId="75A38909" w14:textId="77777777" w:rsidR="00000000" w:rsidRDefault="000243BA">
      <w:pPr>
        <w:spacing w:before="120" w:after="280" w:afterAutospacing="1"/>
      </w:pPr>
      <w:r>
        <w:rPr>
          <w:lang w:val="vi-VN"/>
        </w:rPr>
        <w:t>a</w:t>
      </w:r>
      <w:r>
        <w:rPr>
          <w:lang w:val="vi-VN"/>
        </w:rPr>
        <w:t>) Ban quản lý xã dự thảo hợp đồng trong đó bao gồm các yêu cầu về phạm vi, nội dung công việc cần thực hiện, chất lượng, tiến độ công việc cần đạt được, giá hợp đồng, quyền và nghĩa vụ của các bên;</w:t>
      </w:r>
    </w:p>
    <w:p w14:paraId="1DCD079F" w14:textId="77777777" w:rsidR="00000000" w:rsidRDefault="000243BA">
      <w:pPr>
        <w:spacing w:before="120" w:after="280" w:afterAutospacing="1"/>
      </w:pPr>
      <w:r>
        <w:rPr>
          <w:lang w:val="vi-VN"/>
        </w:rPr>
        <w:t xml:space="preserve">b) Ban quản lý xã niêm yết thông báo công khai (tối thiểu </w:t>
      </w:r>
      <w:r>
        <w:rPr>
          <w:lang w:val="vi-VN"/>
        </w:rPr>
        <w:t>3 ngày làm việc) về việc mời tham gia thực hiện gói thầu tại trụ sở Ủy ban nhân dân xã và thông báo trên các phương tiện truyền thông cấp xã, các nơi sinh hoạt cộng đồng để các cộng đồng dân cư, tổ chức đoàn thể và tổ, nhóm thợ trên địa bàn biết. Thông báo</w:t>
      </w:r>
      <w:r>
        <w:rPr>
          <w:lang w:val="vi-VN"/>
        </w:rPr>
        <w:t xml:space="preserve"> c</w:t>
      </w:r>
      <w:r>
        <w:t>ầ</w:t>
      </w:r>
      <w:r>
        <w:rPr>
          <w:lang w:val="vi-VN"/>
        </w:rPr>
        <w:t>n ghi rõ thời gian họp bàn về phương án thực hiện gói thầu;</w:t>
      </w:r>
    </w:p>
    <w:p w14:paraId="5DAA2139" w14:textId="77777777" w:rsidR="00000000" w:rsidRDefault="000243BA">
      <w:pPr>
        <w:spacing w:before="120" w:after="280" w:afterAutospacing="1"/>
      </w:pPr>
      <w:r>
        <w:rPr>
          <w:lang w:val="vi-VN"/>
        </w:rPr>
        <w:t>c) Cộng đồng dân cư, tổ chức đoàn thể, t</w:t>
      </w:r>
      <w:r>
        <w:t xml:space="preserve">ổ, </w:t>
      </w:r>
      <w:r>
        <w:rPr>
          <w:lang w:val="vi-VN"/>
        </w:rPr>
        <w:t>nhóm thợ q</w:t>
      </w:r>
      <w:r>
        <w:t>u</w:t>
      </w:r>
      <w:r>
        <w:rPr>
          <w:lang w:val="vi-VN"/>
        </w:rPr>
        <w:t xml:space="preserve">an tâm </w:t>
      </w:r>
      <w:r>
        <w:t>n</w:t>
      </w:r>
      <w:r>
        <w:rPr>
          <w:lang w:val="vi-VN"/>
        </w:rPr>
        <w:t xml:space="preserve">hận dự thảo hợp đồng để nghiên cứu </w:t>
      </w:r>
      <w:r>
        <w:t xml:space="preserve">và </w:t>
      </w:r>
      <w:r>
        <w:rPr>
          <w:lang w:val="vi-VN"/>
        </w:rPr>
        <w:t>chuẩ</w:t>
      </w:r>
      <w:r>
        <w:t xml:space="preserve">n </w:t>
      </w:r>
      <w:r>
        <w:rPr>
          <w:lang w:val="vi-VN"/>
        </w:rPr>
        <w:t>bị đơn đăng ký thự</w:t>
      </w:r>
      <w:r>
        <w:t xml:space="preserve">c </w:t>
      </w:r>
      <w:r>
        <w:rPr>
          <w:lang w:val="vi-VN"/>
        </w:rPr>
        <w:t>hiệ</w:t>
      </w:r>
      <w:r>
        <w:t>n</w:t>
      </w:r>
      <w:r>
        <w:rPr>
          <w:lang w:val="vi-VN"/>
        </w:rPr>
        <w:t xml:space="preserve"> g</w:t>
      </w:r>
      <w:r>
        <w:t>ó</w:t>
      </w:r>
      <w:r>
        <w:rPr>
          <w:lang w:val="vi-VN"/>
        </w:rPr>
        <w:t>i thầu hoặc dự án gồm: Họ tên, độ tuổi, năng lực và kinh ngh</w:t>
      </w:r>
      <w:r>
        <w:rPr>
          <w:lang w:val="vi-VN"/>
        </w:rPr>
        <w:t>iệm phù hợp với tính chất gói thầu của các thành viên tham gia thực hiện gói thầu; gi</w:t>
      </w:r>
      <w:r>
        <w:t xml:space="preserve">á </w:t>
      </w:r>
      <w:r>
        <w:rPr>
          <w:lang w:val="vi-VN"/>
        </w:rPr>
        <w:t>nhận thầu và tiến độ thực hiện;</w:t>
      </w:r>
    </w:p>
    <w:p w14:paraId="62C965F7" w14:textId="77777777" w:rsidR="00000000" w:rsidRDefault="000243BA">
      <w:pPr>
        <w:spacing w:before="120" w:after="280" w:afterAutospacing="1"/>
      </w:pPr>
      <w:r>
        <w:rPr>
          <w:lang w:val="vi-VN"/>
        </w:rPr>
        <w:t>d) Ban quản lý xã xem xét, đánh giá lựa chọn cộng đồng dân cư hoặc tổ chức đoàn thể tốt nhất và mời đại diện vào đàm phán và ký kết hợp đ</w:t>
      </w:r>
      <w:r>
        <w:rPr>
          <w:lang w:val="vi-VN"/>
        </w:rPr>
        <w:t>ồng. Chỉ giao tổ, nhóm thợ địa phương thực hiện khi cộng đồng dân cư, tổ chức đoàn thể không có đơn đăng ký thực hiện gói thầu, dự án hoặc không đáp ứng yêu c</w:t>
      </w:r>
      <w:r>
        <w:t>ầ</w:t>
      </w:r>
      <w:r>
        <w:rPr>
          <w:lang w:val="vi-VN"/>
        </w:rPr>
        <w:t>u;</w:t>
      </w:r>
    </w:p>
    <w:p w14:paraId="6359A1E6" w14:textId="77777777" w:rsidR="00000000" w:rsidRDefault="000243BA">
      <w:pPr>
        <w:spacing w:before="120" w:after="280" w:afterAutospacing="1"/>
      </w:pPr>
      <w:r>
        <w:rPr>
          <w:lang w:val="vi-VN"/>
        </w:rPr>
        <w:t>đ) Thời gian tối đa từ khi thông báo công khai về việc mời tham gia thực hiện gói thầu đến khi</w:t>
      </w:r>
      <w:r>
        <w:rPr>
          <w:lang w:val="vi-VN"/>
        </w:rPr>
        <w:t xml:space="preserve"> ký kết hợp đồng là 30 ngày.</w:t>
      </w:r>
    </w:p>
    <w:p w14:paraId="00A4E759" w14:textId="77777777" w:rsidR="00000000" w:rsidRDefault="000243BA">
      <w:pPr>
        <w:spacing w:before="120" w:after="280" w:afterAutospacing="1"/>
      </w:pPr>
      <w:bookmarkStart w:id="16" w:name="dieu_8"/>
      <w:r>
        <w:rPr>
          <w:b/>
          <w:bCs/>
          <w:lang w:val="vi-VN"/>
        </w:rPr>
        <w:t>Điều 8. Tổ chức, giám sát thi công và nghiệm thu công trình</w:t>
      </w:r>
      <w:bookmarkEnd w:id="16"/>
    </w:p>
    <w:p w14:paraId="514BFF4C" w14:textId="77777777" w:rsidR="00000000" w:rsidRDefault="000243BA">
      <w:pPr>
        <w:spacing w:before="120" w:after="280" w:afterAutospacing="1"/>
      </w:pPr>
      <w:r>
        <w:rPr>
          <w:lang w:val="vi-VN"/>
        </w:rPr>
        <w:t xml:space="preserve">1. Căn cứ hồ sơ xây dựng công trình được duyệt, kết quả lựa chọn đơn vị thi công và kế hoạch giao vốn chi tiết cho dự án, ban quản lý xã tiến hành ký kết hợp đồng với </w:t>
      </w:r>
      <w:r>
        <w:rPr>
          <w:lang w:val="vi-VN"/>
        </w:rPr>
        <w:t>đại diện của cộng đồng, tổ chức được giao để tổ chức thi công.</w:t>
      </w:r>
    </w:p>
    <w:p w14:paraId="6B8DE8C4" w14:textId="77777777" w:rsidR="00000000" w:rsidRDefault="000243BA">
      <w:pPr>
        <w:spacing w:before="120" w:after="280" w:afterAutospacing="1"/>
      </w:pPr>
      <w:r>
        <w:rPr>
          <w:lang w:val="vi-VN"/>
        </w:rPr>
        <w:t xml:space="preserve">2. Ủy ban nhân dân cấp huyện (đối với công trình do </w:t>
      </w:r>
      <w:r>
        <w:t>Ủ</w:t>
      </w:r>
      <w:r>
        <w:rPr>
          <w:lang w:val="vi-VN"/>
        </w:rPr>
        <w:t>y ban nhân dân xã thực hiện) và xã (đối với công trình do thôn thực hiện) có trách nhiệm cử cán bộ chuyên môn hỗ trợ thi công; Ban quản lý x</w:t>
      </w:r>
      <w:r>
        <w:rPr>
          <w:lang w:val="vi-VN"/>
        </w:rPr>
        <w:t>ã, Ban giám sát đầu tư của cộng đồng xã có trách nhiệm giám sát trong quá trình thi công công trình.</w:t>
      </w:r>
    </w:p>
    <w:p w14:paraId="3E278A8F" w14:textId="77777777" w:rsidR="00000000" w:rsidRDefault="000243BA">
      <w:pPr>
        <w:spacing w:before="120" w:after="280" w:afterAutospacing="1"/>
      </w:pPr>
      <w:r>
        <w:rPr>
          <w:lang w:val="vi-VN"/>
        </w:rPr>
        <w:t>3. Ban quản lý xã tổ chức nghiệm thu công trình, thành phần gồm: đại diện Ủy ban nhân dân xã, Ban quản lý xã; Ban giám sát đầu tư của cộng đồng xã; đại diệ</w:t>
      </w:r>
      <w:r>
        <w:rPr>
          <w:lang w:val="vi-VN"/>
        </w:rPr>
        <w:t>n cộng đồng dân cư, tổ chức đoàn thể, tổ, nhóm thợ thi công; các thành phần có liên quan khác do Ủy ban nhân dân xã quyết định.</w:t>
      </w:r>
    </w:p>
    <w:p w14:paraId="0DFB6466" w14:textId="77777777" w:rsidR="00000000" w:rsidRDefault="000243BA">
      <w:pPr>
        <w:spacing w:before="120" w:after="280" w:afterAutospacing="1"/>
      </w:pPr>
      <w:bookmarkStart w:id="17" w:name="dieu_9"/>
      <w:r>
        <w:rPr>
          <w:b/>
          <w:bCs/>
          <w:lang w:val="vi-VN"/>
        </w:rPr>
        <w:t>Điều 9. Chi phí hỗ trợ chuẩn bị và quản lý thực hiện dự án</w:t>
      </w:r>
      <w:bookmarkEnd w:id="17"/>
    </w:p>
    <w:p w14:paraId="0047455F" w14:textId="77777777" w:rsidR="00000000" w:rsidRDefault="000243BA">
      <w:pPr>
        <w:spacing w:before="120" w:after="280" w:afterAutospacing="1"/>
      </w:pPr>
      <w:r>
        <w:rPr>
          <w:lang w:val="vi-VN"/>
        </w:rPr>
        <w:lastRenderedPageBreak/>
        <w:t>Nội dung và định mức hỗ trợ do Ủy ban nhân dân cấp tỉnh trình Hội đồn</w:t>
      </w:r>
      <w:r>
        <w:rPr>
          <w:lang w:val="vi-VN"/>
        </w:rPr>
        <w:t>g nhân dân cấp tỉnh ban hành theo các quy định hiện hành và điều kiện cụ thể của địa phương nhưng không cao hơn các định mức chi phí theo cơ chế đầu tư thông thường.</w:t>
      </w:r>
    </w:p>
    <w:p w14:paraId="493CF659" w14:textId="77777777" w:rsidR="00000000" w:rsidRDefault="000243BA">
      <w:pPr>
        <w:spacing w:before="120" w:after="280" w:afterAutospacing="1"/>
      </w:pPr>
      <w:bookmarkStart w:id="18" w:name="dieu_10"/>
      <w:r>
        <w:rPr>
          <w:b/>
          <w:bCs/>
          <w:lang w:val="vi-VN"/>
        </w:rPr>
        <w:t>Điều 10. Tổ chức thực hiện</w:t>
      </w:r>
      <w:bookmarkEnd w:id="18"/>
    </w:p>
    <w:p w14:paraId="42C38DF3" w14:textId="77777777" w:rsidR="00000000" w:rsidRDefault="000243BA">
      <w:pPr>
        <w:spacing w:before="120" w:after="280" w:afterAutospacing="1"/>
      </w:pPr>
      <w:r>
        <w:rPr>
          <w:lang w:val="vi-VN"/>
        </w:rPr>
        <w:t xml:space="preserve">1. </w:t>
      </w:r>
      <w:r>
        <w:t>Ủ</w:t>
      </w:r>
      <w:r>
        <w:rPr>
          <w:lang w:val="vi-VN"/>
        </w:rPr>
        <w:t>y ban nhân dân các tỉnh, thành phố trực thuộc Trung ương:</w:t>
      </w:r>
    </w:p>
    <w:p w14:paraId="63296E6E" w14:textId="77777777" w:rsidR="00000000" w:rsidRDefault="000243BA">
      <w:pPr>
        <w:spacing w:before="120" w:after="280" w:afterAutospacing="1"/>
      </w:pPr>
      <w:r>
        <w:rPr>
          <w:lang w:val="vi-VN"/>
        </w:rPr>
        <w:t>a</w:t>
      </w:r>
      <w:r>
        <w:rPr>
          <w:lang w:val="vi-VN"/>
        </w:rPr>
        <w:t>) Ban hà</w:t>
      </w:r>
      <w:r>
        <w:t>n</w:t>
      </w:r>
      <w:r>
        <w:rPr>
          <w:lang w:val="vi-VN"/>
        </w:rPr>
        <w:t>h thiết kế mẫu, thiết kế điển h</w:t>
      </w:r>
      <w:r>
        <w:t>ì</w:t>
      </w:r>
      <w:r>
        <w:rPr>
          <w:lang w:val="vi-VN"/>
        </w:rPr>
        <w:t>nh;</w:t>
      </w:r>
    </w:p>
    <w:p w14:paraId="477E52EB" w14:textId="77777777" w:rsidR="00000000" w:rsidRDefault="000243BA">
      <w:pPr>
        <w:spacing w:before="120" w:after="280" w:afterAutospacing="1"/>
      </w:pPr>
      <w:r>
        <w:rPr>
          <w:lang w:val="vi-VN"/>
        </w:rPr>
        <w:t>b) Ban hành danh mục loại dự án được áp dụng cơ chế đặc thù;</w:t>
      </w:r>
    </w:p>
    <w:p w14:paraId="543FDCDC" w14:textId="77777777" w:rsidR="00000000" w:rsidRDefault="000243BA">
      <w:pPr>
        <w:spacing w:before="120" w:after="280" w:afterAutospacing="1"/>
      </w:pPr>
      <w:r>
        <w:rPr>
          <w:lang w:val="vi-VN"/>
        </w:rPr>
        <w:t>c) Tổ chức thẩm định nguồn vốn và khả năng cân đối vốn ngân sách Trung ương theo quy định tại Điều 3 Nghị định này;</w:t>
      </w:r>
    </w:p>
    <w:p w14:paraId="3108B572" w14:textId="77777777" w:rsidR="00000000" w:rsidRDefault="000243BA">
      <w:pPr>
        <w:spacing w:before="120" w:after="280" w:afterAutospacing="1"/>
      </w:pPr>
      <w:r>
        <w:rPr>
          <w:lang w:val="vi-VN"/>
        </w:rPr>
        <w:t xml:space="preserve">d) Hướng dẫn thực hiện cơ chế phù </w:t>
      </w:r>
      <w:r>
        <w:rPr>
          <w:lang w:val="vi-VN"/>
        </w:rPr>
        <w:t>hợp với đặc điểm, tình hình cụ thể của địa phương.</w:t>
      </w:r>
    </w:p>
    <w:p w14:paraId="3625A1DE" w14:textId="77777777" w:rsidR="00000000" w:rsidRDefault="000243BA">
      <w:pPr>
        <w:spacing w:before="120" w:after="280" w:afterAutospacing="1"/>
      </w:pPr>
      <w:r>
        <w:rPr>
          <w:lang w:val="vi-VN"/>
        </w:rPr>
        <w:t>2. Bộ Tài chính hướng dẫn thực hiện cơ chế thanh quyết toán đối với các dự án áp dụng cơ chế này theo hướng đặc thù rút gọn.</w:t>
      </w:r>
    </w:p>
    <w:p w14:paraId="5CBF981D" w14:textId="77777777" w:rsidR="00000000" w:rsidRDefault="000243BA">
      <w:pPr>
        <w:spacing w:before="120" w:after="280" w:afterAutospacing="1"/>
      </w:pPr>
      <w:r>
        <w:rPr>
          <w:lang w:val="vi-VN"/>
        </w:rPr>
        <w:t>Đối v</w:t>
      </w:r>
      <w:r>
        <w:t>ớ</w:t>
      </w:r>
      <w:r>
        <w:rPr>
          <w:lang w:val="vi-VN"/>
        </w:rPr>
        <w:t>i các dự án thực hiện theo hình thức Ngân sách nhà nước hỗ trợ vật liệu xâ</w:t>
      </w:r>
      <w:r>
        <w:rPr>
          <w:lang w:val="vi-VN"/>
        </w:rPr>
        <w:t>y dựng, Ủy ban nhân dân cấp tỉnh quy định cụ thể việc quản lý, thanh quyết toán phần vốn ngân sách Nhà nước hỗ trợ cho phù hợp với điều kiện thực tế của địa phương.</w:t>
      </w:r>
    </w:p>
    <w:p w14:paraId="3D3B81E7" w14:textId="77777777" w:rsidR="00000000" w:rsidRDefault="000243BA">
      <w:pPr>
        <w:spacing w:before="120" w:after="280" w:afterAutospacing="1"/>
      </w:pPr>
      <w:r>
        <w:rPr>
          <w:lang w:val="vi-VN"/>
        </w:rPr>
        <w:t>3. Bộ Kế hoạch và Đầu tư chủ trì, phối hợp với các cơ quan liên quan theo dõi, kiểm tra, sơ</w:t>
      </w:r>
      <w:r>
        <w:rPr>
          <w:lang w:val="vi-VN"/>
        </w:rPr>
        <w:t xml:space="preserve"> kết và tổng kết việc thực hiện Nghị định này; báo cáo Chính phủ xem xét sửa đổi, bổ sung Nghị định nếu cần.</w:t>
      </w:r>
    </w:p>
    <w:p w14:paraId="2EF34DF1" w14:textId="77777777" w:rsidR="00000000" w:rsidRDefault="000243BA">
      <w:pPr>
        <w:spacing w:before="120" w:after="280" w:afterAutospacing="1"/>
      </w:pPr>
      <w:bookmarkStart w:id="19" w:name="chuong_3"/>
      <w:r>
        <w:rPr>
          <w:b/>
          <w:bCs/>
          <w:lang w:val="vi-VN"/>
        </w:rPr>
        <w:t>Chương III</w:t>
      </w:r>
      <w:bookmarkEnd w:id="19"/>
    </w:p>
    <w:p w14:paraId="4701D3EB" w14:textId="77777777" w:rsidR="00000000" w:rsidRDefault="000243BA">
      <w:pPr>
        <w:spacing w:before="120" w:after="280" w:afterAutospacing="1"/>
        <w:jc w:val="center"/>
      </w:pPr>
      <w:bookmarkStart w:id="20" w:name="chuong_3_name"/>
      <w:r>
        <w:rPr>
          <w:b/>
          <w:bCs/>
          <w:lang w:val="vi-VN"/>
        </w:rPr>
        <w:t>HIỆU LỰC THI HÀNH</w:t>
      </w:r>
      <w:bookmarkEnd w:id="20"/>
    </w:p>
    <w:p w14:paraId="2C2BAF25" w14:textId="77777777" w:rsidR="00000000" w:rsidRDefault="000243BA">
      <w:pPr>
        <w:spacing w:before="120" w:after="280" w:afterAutospacing="1"/>
      </w:pPr>
      <w:bookmarkStart w:id="21" w:name="dieu_11"/>
      <w:r>
        <w:rPr>
          <w:b/>
          <w:bCs/>
          <w:lang w:val="vi-VN"/>
        </w:rPr>
        <w:t>Điều 11. Hiệu lực thi hành</w:t>
      </w:r>
      <w:bookmarkEnd w:id="21"/>
    </w:p>
    <w:p w14:paraId="22EAF0F1" w14:textId="77777777" w:rsidR="00000000" w:rsidRDefault="000243BA">
      <w:pPr>
        <w:spacing w:before="120" w:after="280" w:afterAutospacing="1"/>
      </w:pPr>
      <w:r>
        <w:rPr>
          <w:lang w:val="vi-VN"/>
        </w:rPr>
        <w:t>1. Nghị định này có hiệu lực thi hành từ ngày ký ban hành.</w:t>
      </w:r>
    </w:p>
    <w:p w14:paraId="2A2A0081" w14:textId="77777777" w:rsidR="00000000" w:rsidRDefault="000243BA">
      <w:pPr>
        <w:spacing w:before="120" w:after="280" w:afterAutospacing="1"/>
      </w:pPr>
      <w:r>
        <w:rPr>
          <w:lang w:val="vi-VN"/>
        </w:rPr>
        <w:t>2. Bãi bỏ Quyết định số 498/QĐ-T</w:t>
      </w:r>
      <w:r>
        <w:rPr>
          <w:lang w:val="vi-VN"/>
        </w:rPr>
        <w:t>Tg ngày 21 tháng 3 năm 2013 của Thủ tướng Chính phủ phê duyệt bổ sung cơ chế đầu tư Chương trình mục tiêu quốc gia về xây dựng nông thôn mới giai đoạn 2010 - 2020.</w:t>
      </w:r>
    </w:p>
    <w:p w14:paraId="28621C1F" w14:textId="77777777" w:rsidR="00000000" w:rsidRDefault="000243BA">
      <w:pPr>
        <w:spacing w:before="120" w:after="280" w:afterAutospacing="1"/>
      </w:pPr>
      <w:r>
        <w:rPr>
          <w:lang w:val="vi-VN"/>
        </w:rPr>
        <w:t>3. Đối với các nội dung khác liên quan đến quản lý đầu tư xây dựng không được quy định trong</w:t>
      </w:r>
      <w:r>
        <w:rPr>
          <w:lang w:val="vi-VN"/>
        </w:rPr>
        <w:t xml:space="preserve"> Nghị định này thì thực hiện theo các quy định của pháp luật hiện hành.</w:t>
      </w:r>
    </w:p>
    <w:p w14:paraId="56DDA122" w14:textId="77777777" w:rsidR="00000000" w:rsidRDefault="000243BA">
      <w:pPr>
        <w:spacing w:before="120" w:after="280" w:afterAutospacing="1"/>
      </w:pPr>
      <w:bookmarkStart w:id="22" w:name="dieu_12"/>
      <w:r>
        <w:rPr>
          <w:b/>
          <w:bCs/>
          <w:lang w:val="vi-VN"/>
        </w:rPr>
        <w:t>Điều 12. Trách nhiệm thi hành</w:t>
      </w:r>
      <w:bookmarkEnd w:id="22"/>
    </w:p>
    <w:p w14:paraId="0F7B8752" w14:textId="77777777" w:rsidR="00000000" w:rsidRDefault="000243BA">
      <w:pPr>
        <w:spacing w:before="120" w:after="280" w:afterAutospacing="1"/>
      </w:pPr>
      <w:r>
        <w:rPr>
          <w:lang w:val="vi-VN"/>
        </w:rPr>
        <w:lastRenderedPageBreak/>
        <w:t xml:space="preserve">Các Bộ trưởng, Thủ trưởng cơ quan ngang Bộ, Thủ trưởng các cơ quan thuộc Chính phủ, Chủ tịch Ủy ban nhân dân các tỉnh, thành phố trực thuộc Trung ương và </w:t>
      </w:r>
      <w:r>
        <w:rPr>
          <w:lang w:val="vi-VN"/>
        </w:rPr>
        <w:t>các tổ chức, cá nhân có liên quan chịu trách nhiệm thi hành Nghị định này.</w:t>
      </w:r>
    </w:p>
    <w:p w14:paraId="110312D5" w14:textId="77777777" w:rsidR="00000000" w:rsidRDefault="000243B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D38093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DF63824" w14:textId="77777777" w:rsidR="00000000" w:rsidRDefault="000243BA">
            <w:pPr>
              <w:spacing w:before="120" w:after="280" w:afterAutospacing="1"/>
            </w:pPr>
            <w:r>
              <w:rPr>
                <w:b/>
                <w:bCs/>
                <w:i/>
                <w:iCs/>
              </w:rPr>
              <w:t> </w:t>
            </w:r>
          </w:p>
          <w:p w14:paraId="29D490DA" w14:textId="77777777" w:rsidR="00000000" w:rsidRDefault="000243B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w:t>
            </w:r>
            <w:r>
              <w:rPr>
                <w:sz w:val="16"/>
              </w:rPr>
              <w:t>ớ</w:t>
            </w:r>
            <w:r>
              <w:rPr>
                <w:sz w:val="16"/>
                <w:lang w:val="vi-VN"/>
              </w:rPr>
              <w:t>ng, các Phó Thủ tướng Chính phủ;</w:t>
            </w:r>
            <w:r>
              <w:rPr>
                <w:sz w:val="16"/>
                <w:lang w:val="vi-VN"/>
              </w:rPr>
              <w:br/>
              <w:t>- Các Bộ, cơ quan ngang Bộ, cơ quan thuộc Chính phủ;</w:t>
            </w:r>
            <w:r>
              <w:rPr>
                <w:sz w:val="16"/>
                <w:lang w:val="vi-VN"/>
              </w:rPr>
              <w:br/>
              <w:t>- BCĐ TW về phòng, chống tham nhũng;</w:t>
            </w:r>
            <w:r>
              <w:rPr>
                <w:sz w:val="16"/>
                <w:lang w:val="vi-VN"/>
              </w:rPr>
              <w:br/>
              <w:t>- HĐN</w:t>
            </w:r>
            <w:r>
              <w:rPr>
                <w:sz w:val="16"/>
                <w:lang w:val="vi-VN"/>
              </w:rPr>
              <w:t>D, UBND các tỉnh, thành phố trực thuộc TW;</w:t>
            </w:r>
            <w:r>
              <w:rPr>
                <w:sz w:val="16"/>
                <w:lang w:val="vi-VN"/>
              </w:rPr>
              <w:br/>
              <w:t>- V</w:t>
            </w:r>
            <w:r>
              <w:rPr>
                <w:sz w:val="16"/>
              </w:rPr>
              <w:t>ă</w:t>
            </w:r>
            <w:r>
              <w:rPr>
                <w:sz w:val="16"/>
                <w:lang w:val="vi-VN"/>
              </w:rPr>
              <w:t>n phòng Trung ương và các Ban của Đảng;</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w:t>
            </w:r>
            <w:r>
              <w:rPr>
                <w:sz w:val="16"/>
              </w:rPr>
              <w:t>ể</w:t>
            </w:r>
            <w:r>
              <w:rPr>
                <w:sz w:val="16"/>
                <w:lang w:val="vi-VN"/>
              </w:rPr>
              <w:t>m toán N</w:t>
            </w:r>
            <w:r>
              <w:rPr>
                <w:sz w:val="16"/>
                <w:lang w:val="vi-VN"/>
              </w:rPr>
              <w:t>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UBTW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TTgCP, </w:t>
            </w:r>
            <w:r>
              <w:rPr>
                <w:sz w:val="16"/>
              </w:rPr>
              <w:t>C</w:t>
            </w:r>
            <w:r>
              <w:rPr>
                <w:sz w:val="16"/>
                <w:lang w:val="vi-VN"/>
              </w:rPr>
              <w:t>ổng TTĐT, các Vụ, Cục, đơn vị trực</w:t>
            </w:r>
            <w:r>
              <w:rPr>
                <w:sz w:val="16"/>
                <w:lang w:val="vi-VN"/>
              </w:rPr>
              <w:t xml:space="preserve"> thuộc, Công báo;</w:t>
            </w:r>
            <w:r>
              <w:rPr>
                <w:sz w:val="16"/>
                <w:lang w:val="vi-VN"/>
              </w:rPr>
              <w:br/>
              <w:t>- Lưu: Văn th</w:t>
            </w:r>
            <w:r>
              <w:rPr>
                <w:sz w:val="16"/>
              </w:rPr>
              <w:t>ư</w:t>
            </w:r>
            <w:r>
              <w:rPr>
                <w:sz w:val="16"/>
                <w:lang w:val="vi-VN"/>
              </w:rPr>
              <w:t>, KTN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AC5B184" w14:textId="77777777" w:rsidR="00000000" w:rsidRDefault="000243BA">
            <w:pPr>
              <w:spacing w:before="120"/>
              <w:jc w:val="center"/>
            </w:pPr>
            <w:r>
              <w:rPr>
                <w:b/>
                <w:bCs/>
                <w:lang w:val="vi-VN"/>
              </w:rPr>
              <w:t>TM. CHÍNH PHỦ</w:t>
            </w:r>
            <w:r>
              <w:rPr>
                <w:b/>
                <w:bCs/>
              </w:rPr>
              <w:br/>
            </w:r>
            <w:r>
              <w:rPr>
                <w:b/>
                <w:bCs/>
                <w:lang w:val="vi-VN"/>
              </w:rPr>
              <w:t>THỦ TƯỚNG</w:t>
            </w:r>
            <w:r>
              <w:rPr>
                <w:b/>
                <w:bCs/>
                <w:lang w:val="vi-VN"/>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19C765C5" w14:textId="77777777" w:rsidR="000243BA" w:rsidRDefault="000243BA">
      <w:pPr>
        <w:spacing w:before="120" w:after="280" w:afterAutospacing="1"/>
      </w:pPr>
      <w:r>
        <w:rPr>
          <w:b/>
          <w:bCs/>
        </w:rPr>
        <w:t> </w:t>
      </w:r>
    </w:p>
    <w:sectPr w:rsidR="000243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BF"/>
    <w:rsid w:val="000243BA"/>
    <w:rsid w:val="005402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1F504"/>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2022-08-02T01:25:00Z</dcterms:created>
  <dcterms:modified xsi:type="dcterms:W3CDTF">2022-08-02T01:25:00Z</dcterms:modified>
</cp:coreProperties>
</file>