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407E12" w:rsidRPr="00407E12" w:rsidTr="00407E12"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12" w:rsidRPr="00407E12" w:rsidRDefault="00407E12" w:rsidP="00407E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THỦ TƯỚNG CHÍNH PHỦ</w:t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12" w:rsidRPr="00407E12" w:rsidRDefault="00407E12" w:rsidP="00407E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</w:t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407E12" w:rsidRPr="00407E12" w:rsidTr="00407E12"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12" w:rsidRPr="00407E12" w:rsidRDefault="00407E12" w:rsidP="00407E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Số: 1124/QĐ-TTg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12" w:rsidRPr="00407E12" w:rsidRDefault="00407E12" w:rsidP="00407E1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Hà Nội, ngày 23 tháng 9 năm 2022</w:t>
            </w:r>
          </w:p>
        </w:tc>
      </w:tr>
    </w:tbl>
    <w:p w:rsidR="00407E12" w:rsidRPr="00407E12" w:rsidRDefault="00407E12" w:rsidP="00407E1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sz w:val="24"/>
          <w:szCs w:val="24"/>
        </w:rPr>
        <w:t>VỀ VIỆC THÀNH LẬP TRƯỜNG ĐẠI HỌC LUẬT LÀ TRƯỜNG ĐẠI HỌC THÀNH VIÊN CỦA ĐẠI HỌC QUỐC GIA HÀ NỘI</w:t>
      </w:r>
    </w:p>
    <w:p w:rsidR="00407E12" w:rsidRPr="00407E12" w:rsidRDefault="00407E12" w:rsidP="00407E12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THỦ TƯỚNG CHÍNH PHỦ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chức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19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2015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sửa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bổ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sung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phương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22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11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2019;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18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2012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sửa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bổ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sung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19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11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2018;</w:t>
      </w:r>
    </w:p>
    <w:p w:rsidR="00407E12" w:rsidRPr="00407E12" w:rsidRDefault="00B1626F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186</w:t>
      </w:r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/2013/NĐ-CP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17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11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2013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quốc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gia</w:t>
      </w:r>
      <w:proofErr w:type="spellEnd"/>
      <w:r w:rsidR="00407E12"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Nghị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46/2017/NĐ-CP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21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4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2017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đầu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tư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hoạt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lĩnh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vực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;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Nghị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135/2018/NĐ-CP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04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2018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sửa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bổ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sung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Nghị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46/2017/NĐ-CP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21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4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2017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Quyết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37/2013/QĐ-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TTg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26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2013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tướng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chỉnh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hoạch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mạng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lưới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cao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đẳng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giai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đoạn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2006 - 2020;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Quyết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26/2014/QĐ-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TTg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26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3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2014</w:t>
      </w: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tướng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ban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hành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chế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tổ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chức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hoạt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động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các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cơ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viên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Theo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đề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nghị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trưởng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Đào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tạo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Tờ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1177/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TT</w:t>
      </w:r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proofErr w:type="spellEnd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-BGDĐT </w:t>
      </w:r>
      <w:proofErr w:type="spellStart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07 </w:t>
      </w:r>
      <w:proofErr w:type="spellStart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9 </w:t>
      </w:r>
      <w:proofErr w:type="spellStart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162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</w:t>
      </w:r>
      <w:bookmarkStart w:id="0" w:name="_GoBack"/>
      <w:bookmarkEnd w:id="0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Tờ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995/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TTr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-BGDĐT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09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8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2022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việc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lập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viên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:rsidR="00407E12" w:rsidRPr="00407E12" w:rsidRDefault="00407E12" w:rsidP="00407E12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proofErr w:type="gram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lãnh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thổ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</w:t>
      </w:r>
      <w:r w:rsidR="00B1626F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186</w:t>
      </w:r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/2013/NĐ-CP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; 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46/2017/NĐ-CP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626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B1626F">
        <w:rPr>
          <w:rFonts w:ascii="Times New Roman" w:eastAsia="Times New Roman" w:hAnsi="Times New Roman" w:cs="Times New Roman"/>
          <w:sz w:val="24"/>
          <w:szCs w:val="24"/>
        </w:rPr>
        <w:t xml:space="preserve"> 135/2018</w:t>
      </w:r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/NĐ-CP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04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lastRenderedPageBreak/>
        <w:t>số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46/2017/NĐ-CP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; 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Quyết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26/2014/QĐ-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TTg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407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</w:t>
      </w:r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tướng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E12" w:rsidRPr="00407E12" w:rsidRDefault="00407E12" w:rsidP="00407E1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</w:t>
      </w:r>
      <w:proofErr w:type="gramEnd"/>
      <w:r w:rsidRPr="00407E1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7E12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proofErr w:type="gram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E1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7E12">
        <w:rPr>
          <w:rFonts w:ascii="Times New Roman" w:eastAsia="Times New Roman" w:hAnsi="Times New Roman" w:cs="Times New Roman"/>
          <w:sz w:val="24"/>
          <w:szCs w:val="24"/>
        </w:rPr>
        <w:t>./.</w:t>
      </w:r>
    </w:p>
    <w:p w:rsidR="00407E12" w:rsidRPr="00407E12" w:rsidRDefault="00407E12" w:rsidP="00407E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407E12" w:rsidRPr="00407E12" w:rsidTr="00407E12">
        <w:tc>
          <w:tcPr>
            <w:tcW w:w="4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12" w:rsidRPr="00407E12" w:rsidRDefault="00407E12" w:rsidP="00407E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Ban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Bí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Thư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Trung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ương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Đảng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Thủ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tướng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các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Phó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Thủ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tướng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Bộ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và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Đào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tạo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UBND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thành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phố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Hà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Trung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ương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Đảng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Tổng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Bí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thư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Ban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Tuyên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Trung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ương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Chủ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tịch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nước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phòng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Quốc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hội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Ủy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ban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Văn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hóa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Giáo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dục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của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Quốc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hội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UBTW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Mặt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trận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Tổ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quốc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Việt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Nam;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Cơ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quan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Trung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ương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của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các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đoàn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thể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Quốc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gia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Hà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Nội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Trường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Đại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học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Luật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ĐHQGHN;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VPCP: BTCN,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các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PCN,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Trợ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lý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TTg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07E12" w:rsidRPr="00407E12" w:rsidRDefault="00407E12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TGĐ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Cổng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TTĐT,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các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Vụ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: PL, KTTH, TCCV;</w:t>
            </w:r>
          </w:p>
          <w:p w:rsidR="00407E12" w:rsidRPr="00407E12" w:rsidRDefault="00B1626F" w:rsidP="00407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VT, KGVX (3). Đ</w:t>
            </w:r>
            <w:r w:rsidR="00407E12" w:rsidRPr="00407E12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 w:rsidR="00407E12" w:rsidRPr="00407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7E12" w:rsidRPr="00407E12" w:rsidRDefault="00407E12" w:rsidP="00407E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12" w:rsidRPr="00407E12" w:rsidRDefault="00407E12" w:rsidP="00407E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KT. THỦ TƯỚNG</w:t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PHÓ THỦ TƯỚNG</w:t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Vũ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Đức</w:t>
            </w:r>
            <w:proofErr w:type="spellEnd"/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Đam</w:t>
            </w:r>
            <w:proofErr w:type="spellEnd"/>
          </w:p>
        </w:tc>
      </w:tr>
    </w:tbl>
    <w:p w:rsidR="00407E12" w:rsidRPr="00407E12" w:rsidRDefault="00407E12" w:rsidP="00407E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07E12" w:rsidRPr="00407E12" w:rsidRDefault="00407E12" w:rsidP="00407E1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E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40B" w:rsidRPr="00407E12" w:rsidRDefault="00370D87" w:rsidP="00407E12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5A040B" w:rsidRPr="00407E12" w:rsidSect="00407E12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12"/>
    <w:rsid w:val="00341A21"/>
    <w:rsid w:val="00370D87"/>
    <w:rsid w:val="00407E12"/>
    <w:rsid w:val="00692471"/>
    <w:rsid w:val="00B1626F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7E12"/>
    <w:rPr>
      <w:i/>
      <w:iCs/>
    </w:rPr>
  </w:style>
  <w:style w:type="character" w:styleId="Strong">
    <w:name w:val="Strong"/>
    <w:basedOn w:val="DefaultParagraphFont"/>
    <w:uiPriority w:val="22"/>
    <w:qFormat/>
    <w:rsid w:val="00407E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7E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7E12"/>
    <w:rPr>
      <w:i/>
      <w:iCs/>
    </w:rPr>
  </w:style>
  <w:style w:type="character" w:styleId="Strong">
    <w:name w:val="Strong"/>
    <w:basedOn w:val="DefaultParagraphFont"/>
    <w:uiPriority w:val="22"/>
    <w:qFormat/>
    <w:rsid w:val="00407E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7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Mai</dc:creator>
  <cp:lastModifiedBy>ADMIN</cp:lastModifiedBy>
  <cp:revision>2</cp:revision>
  <dcterms:created xsi:type="dcterms:W3CDTF">2022-09-23T10:45:00Z</dcterms:created>
  <dcterms:modified xsi:type="dcterms:W3CDTF">2022-09-23T10:45:00Z</dcterms:modified>
</cp:coreProperties>
</file>