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-252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06"/>
        <w:gridCol w:w="5866"/>
      </w:tblGrid>
      <w:tr w:rsidR="00C9089E" w:rsidRPr="00014A03" w14:paraId="2A5E2EB4" w14:textId="77777777" w:rsidTr="00014A03">
        <w:tc>
          <w:tcPr>
            <w:tcW w:w="3420" w:type="dxa"/>
            <w:shd w:val="clear" w:color="auto" w:fill="auto"/>
          </w:tcPr>
          <w:p w14:paraId="05A873D3" w14:textId="77777777" w:rsidR="00C9089E" w:rsidRPr="00014A03" w:rsidRDefault="00C9089E" w:rsidP="00014A03">
            <w:pPr>
              <w:spacing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014A03">
              <w:rPr>
                <w:rFonts w:ascii="Arial" w:hAnsi="Arial"/>
                <w:b/>
                <w:sz w:val="20"/>
                <w:szCs w:val="20"/>
              </w:rPr>
              <w:t>CHÍNH PHỦ</w:t>
            </w:r>
            <w:r w:rsidR="00B757FE" w:rsidRPr="00014A03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6480" w:type="dxa"/>
            <w:shd w:val="clear" w:color="auto" w:fill="auto"/>
          </w:tcPr>
          <w:p w14:paraId="2A701EE6" w14:textId="77777777" w:rsidR="00C9089E" w:rsidRPr="00014A03" w:rsidRDefault="00C9089E" w:rsidP="00014A0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A03">
              <w:rPr>
                <w:rFonts w:ascii="Arial" w:hAnsi="Arial"/>
                <w:b/>
                <w:sz w:val="20"/>
                <w:szCs w:val="20"/>
              </w:rPr>
              <w:t>CỘNG HÒA XÃ HỘI CHỦ NGHĨA VIỆT NAM</w:t>
            </w:r>
            <w:r w:rsidR="00B757FE" w:rsidRPr="00014A03">
              <w:rPr>
                <w:rFonts w:ascii="Arial" w:hAnsi="Arial"/>
                <w:b/>
                <w:sz w:val="20"/>
              </w:rPr>
              <w:br/>
            </w:r>
            <w:proofErr w:type="spellStart"/>
            <w:r w:rsidRPr="00014A03">
              <w:rPr>
                <w:rFonts w:ascii="Arial" w:hAnsi="Arial"/>
                <w:b/>
                <w:sz w:val="20"/>
                <w:szCs w:val="20"/>
              </w:rPr>
              <w:t>Độc</w:t>
            </w:r>
            <w:proofErr w:type="spellEnd"/>
            <w:r w:rsidRPr="00014A0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014A03">
              <w:rPr>
                <w:rFonts w:ascii="Arial" w:hAnsi="Arial"/>
                <w:b/>
                <w:sz w:val="20"/>
                <w:szCs w:val="20"/>
              </w:rPr>
              <w:t>lập</w:t>
            </w:r>
            <w:proofErr w:type="spellEnd"/>
            <w:r w:rsidRPr="00014A03">
              <w:rPr>
                <w:rFonts w:ascii="Arial" w:hAnsi="Arial"/>
                <w:b/>
                <w:sz w:val="20"/>
                <w:szCs w:val="20"/>
              </w:rPr>
              <w:t xml:space="preserve"> - </w:t>
            </w:r>
            <w:proofErr w:type="spellStart"/>
            <w:r w:rsidRPr="00014A03">
              <w:rPr>
                <w:rFonts w:ascii="Arial" w:hAnsi="Arial"/>
                <w:b/>
                <w:sz w:val="20"/>
                <w:szCs w:val="20"/>
              </w:rPr>
              <w:t>Tự</w:t>
            </w:r>
            <w:proofErr w:type="spellEnd"/>
            <w:r w:rsidRPr="00014A03">
              <w:rPr>
                <w:rFonts w:ascii="Arial" w:hAnsi="Arial"/>
                <w:b/>
                <w:sz w:val="20"/>
                <w:szCs w:val="20"/>
              </w:rPr>
              <w:t xml:space="preserve"> do - </w:t>
            </w:r>
            <w:proofErr w:type="spellStart"/>
            <w:r w:rsidRPr="00014A03">
              <w:rPr>
                <w:rFonts w:ascii="Arial" w:hAnsi="Arial"/>
                <w:b/>
                <w:sz w:val="20"/>
                <w:szCs w:val="20"/>
              </w:rPr>
              <w:t>Hạnh</w:t>
            </w:r>
            <w:proofErr w:type="spellEnd"/>
            <w:r w:rsidRPr="00014A0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014A03">
              <w:rPr>
                <w:rFonts w:ascii="Arial" w:hAnsi="Arial"/>
                <w:b/>
                <w:sz w:val="20"/>
                <w:szCs w:val="20"/>
              </w:rPr>
              <w:t>phúc</w:t>
            </w:r>
            <w:proofErr w:type="spellEnd"/>
            <w:r w:rsidR="00B757FE" w:rsidRPr="00014A03">
              <w:rPr>
                <w:rFonts w:ascii="Arial" w:hAnsi="Arial"/>
                <w:b/>
                <w:sz w:val="20"/>
                <w:szCs w:val="20"/>
              </w:rPr>
              <w:br/>
            </w:r>
          </w:p>
        </w:tc>
      </w:tr>
      <w:tr w:rsidR="00B757FE" w:rsidRPr="00014A03" w14:paraId="2AF5E121" w14:textId="77777777" w:rsidTr="00014A03">
        <w:tc>
          <w:tcPr>
            <w:tcW w:w="3420" w:type="dxa"/>
            <w:shd w:val="clear" w:color="auto" w:fill="auto"/>
          </w:tcPr>
          <w:p w14:paraId="7A327E5D" w14:textId="77777777" w:rsidR="00B757FE" w:rsidRPr="00014A03" w:rsidRDefault="00B757FE" w:rsidP="00014A03">
            <w:pPr>
              <w:spacing w:after="120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 w:rsidRPr="00014A03">
              <w:rPr>
                <w:rFonts w:ascii="Arial" w:hAnsi="Arial"/>
                <w:sz w:val="20"/>
                <w:szCs w:val="20"/>
              </w:rPr>
              <w:t>Số</w:t>
            </w:r>
            <w:proofErr w:type="spellEnd"/>
            <w:r w:rsidRPr="00014A03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014A03">
              <w:rPr>
                <w:rFonts w:ascii="Arial" w:hAnsi="Arial"/>
                <w:sz w:val="20"/>
                <w:szCs w:val="20"/>
              </w:rPr>
              <w:t xml:space="preserve"> 109/2006/N</w:t>
            </w:r>
            <w:r w:rsidRPr="00014A03">
              <w:rPr>
                <w:rFonts w:ascii="Arial" w:hAnsi="Arial" w:hint="eastAsia"/>
                <w:sz w:val="20"/>
                <w:szCs w:val="20"/>
              </w:rPr>
              <w:t>Đ</w:t>
            </w:r>
            <w:r w:rsidRPr="00014A03">
              <w:rPr>
                <w:rFonts w:ascii="Arial" w:hAnsi="Arial"/>
                <w:sz w:val="20"/>
                <w:szCs w:val="20"/>
              </w:rPr>
              <w:t>-CP</w:t>
            </w:r>
          </w:p>
        </w:tc>
        <w:tc>
          <w:tcPr>
            <w:tcW w:w="6480" w:type="dxa"/>
            <w:shd w:val="clear" w:color="auto" w:fill="auto"/>
          </w:tcPr>
          <w:p w14:paraId="7E26A0DB" w14:textId="77777777" w:rsidR="00B757FE" w:rsidRPr="00014A03" w:rsidRDefault="00B757FE" w:rsidP="00014A03">
            <w:pPr>
              <w:pStyle w:val="Caption"/>
              <w:spacing w:after="120"/>
              <w:jc w:val="right"/>
              <w:rPr>
                <w:rFonts w:ascii="Arial" w:hAnsi="Arial"/>
                <w:b w:val="0"/>
                <w:i/>
                <w:sz w:val="20"/>
              </w:rPr>
            </w:pPr>
            <w:proofErr w:type="spellStart"/>
            <w:r w:rsidRPr="00014A03">
              <w:rPr>
                <w:rFonts w:ascii="Arial" w:hAnsi="Arial"/>
                <w:b w:val="0"/>
                <w:i/>
                <w:sz w:val="20"/>
              </w:rPr>
              <w:t>Hà</w:t>
            </w:r>
            <w:proofErr w:type="spellEnd"/>
            <w:r w:rsidRPr="00014A03">
              <w:rPr>
                <w:rFonts w:ascii="Arial" w:hAnsi="Arial"/>
                <w:b w:val="0"/>
                <w:i/>
                <w:sz w:val="20"/>
              </w:rPr>
              <w:t xml:space="preserve"> </w:t>
            </w:r>
            <w:proofErr w:type="spellStart"/>
            <w:r w:rsidRPr="00014A03">
              <w:rPr>
                <w:rFonts w:ascii="Arial" w:hAnsi="Arial"/>
                <w:b w:val="0"/>
                <w:i/>
                <w:sz w:val="20"/>
              </w:rPr>
              <w:t>Nội</w:t>
            </w:r>
            <w:proofErr w:type="spellEnd"/>
            <w:r w:rsidRPr="00014A03">
              <w:rPr>
                <w:rFonts w:ascii="Arial" w:hAnsi="Arial"/>
                <w:b w:val="0"/>
                <w:i/>
                <w:sz w:val="20"/>
              </w:rPr>
              <w:t xml:space="preserve">, </w:t>
            </w:r>
            <w:proofErr w:type="spellStart"/>
            <w:r w:rsidRPr="00014A03">
              <w:rPr>
                <w:rFonts w:ascii="Arial" w:hAnsi="Arial"/>
                <w:b w:val="0"/>
                <w:i/>
                <w:sz w:val="20"/>
              </w:rPr>
              <w:t>ngày</w:t>
            </w:r>
            <w:proofErr w:type="spellEnd"/>
            <w:r w:rsidR="001079E1" w:rsidRPr="00014A03">
              <w:rPr>
                <w:rFonts w:ascii="Arial" w:hAnsi="Arial"/>
                <w:b w:val="0"/>
                <w:i/>
                <w:sz w:val="20"/>
              </w:rPr>
              <w:t xml:space="preserve"> </w:t>
            </w:r>
            <w:r w:rsidRPr="00014A03">
              <w:rPr>
                <w:rFonts w:ascii="Arial" w:hAnsi="Arial"/>
                <w:b w:val="0"/>
                <w:i/>
                <w:sz w:val="20"/>
              </w:rPr>
              <w:t>22</w:t>
            </w:r>
            <w:r w:rsidR="001079E1" w:rsidRPr="00014A03">
              <w:rPr>
                <w:rFonts w:ascii="Arial" w:hAnsi="Arial"/>
                <w:b w:val="0"/>
                <w:i/>
                <w:sz w:val="20"/>
              </w:rPr>
              <w:t xml:space="preserve"> </w:t>
            </w:r>
            <w:proofErr w:type="spellStart"/>
            <w:r w:rsidRPr="00014A03">
              <w:rPr>
                <w:rFonts w:ascii="Arial" w:hAnsi="Arial"/>
                <w:b w:val="0"/>
                <w:i/>
                <w:sz w:val="20"/>
              </w:rPr>
              <w:t>tháng</w:t>
            </w:r>
            <w:proofErr w:type="spellEnd"/>
            <w:r w:rsidR="001079E1" w:rsidRPr="00014A03">
              <w:rPr>
                <w:rFonts w:ascii="Arial" w:hAnsi="Arial"/>
                <w:b w:val="0"/>
                <w:i/>
                <w:sz w:val="20"/>
              </w:rPr>
              <w:t xml:space="preserve"> </w:t>
            </w:r>
            <w:r w:rsidRPr="00014A03">
              <w:rPr>
                <w:rFonts w:ascii="Arial" w:hAnsi="Arial"/>
                <w:b w:val="0"/>
                <w:i/>
                <w:sz w:val="20"/>
              </w:rPr>
              <w:t>9</w:t>
            </w:r>
            <w:r w:rsidR="001079E1" w:rsidRPr="00014A03">
              <w:rPr>
                <w:rFonts w:ascii="Arial" w:hAnsi="Arial"/>
                <w:b w:val="0"/>
                <w:i/>
                <w:sz w:val="20"/>
              </w:rPr>
              <w:t xml:space="preserve"> </w:t>
            </w:r>
            <w:proofErr w:type="spellStart"/>
            <w:r w:rsidRPr="00014A03">
              <w:rPr>
                <w:rFonts w:ascii="Arial" w:hAnsi="Arial"/>
                <w:b w:val="0"/>
                <w:i/>
                <w:sz w:val="20"/>
              </w:rPr>
              <w:t>năm</w:t>
            </w:r>
            <w:proofErr w:type="spellEnd"/>
            <w:r w:rsidRPr="00014A03">
              <w:rPr>
                <w:rFonts w:ascii="Arial" w:hAnsi="Arial"/>
                <w:b w:val="0"/>
                <w:i/>
                <w:sz w:val="20"/>
              </w:rPr>
              <w:t xml:space="preserve"> 2006</w:t>
            </w:r>
          </w:p>
        </w:tc>
      </w:tr>
    </w:tbl>
    <w:p w14:paraId="35CA744C" w14:textId="77777777" w:rsidR="00893F56" w:rsidRPr="00B757FE" w:rsidRDefault="00893F56" w:rsidP="00717EBD">
      <w:pPr>
        <w:pStyle w:val="Caption"/>
        <w:spacing w:after="120"/>
        <w:rPr>
          <w:rFonts w:ascii="Arial" w:hAnsi="Arial"/>
          <w:sz w:val="20"/>
        </w:rPr>
      </w:pPr>
    </w:p>
    <w:p w14:paraId="32DC6220" w14:textId="77777777" w:rsidR="00C9089E" w:rsidRPr="00B757FE" w:rsidRDefault="00B757FE" w:rsidP="00D71774">
      <w:pPr>
        <w:pStyle w:val="NormalWeb"/>
        <w:spacing w:before="120"/>
        <w:jc w:val="center"/>
        <w:rPr>
          <w:sz w:val="24"/>
        </w:rPr>
      </w:pPr>
      <w:bookmarkStart w:id="0" w:name="loai_1"/>
      <w:r w:rsidRPr="00D71774">
        <w:rPr>
          <w:b/>
          <w:bCs/>
          <w:sz w:val="24"/>
          <w:szCs w:val="24"/>
        </w:rPr>
        <w:t>NGHỊ ĐỊNH</w:t>
      </w:r>
    </w:p>
    <w:p w14:paraId="4BAD2949" w14:textId="77777777" w:rsidR="00C9089E" w:rsidRPr="00D71774" w:rsidRDefault="00B757FE" w:rsidP="00D71774">
      <w:pPr>
        <w:pStyle w:val="NormalWeb"/>
        <w:spacing w:before="120"/>
        <w:jc w:val="center"/>
      </w:pPr>
      <w:bookmarkStart w:id="1" w:name="loai_1_name"/>
      <w:bookmarkEnd w:id="0"/>
      <w:r w:rsidRPr="00D71774">
        <w:rPr>
          <w:bCs/>
          <w:szCs w:val="24"/>
        </w:rPr>
        <w:t>QUY ĐỊNH CHI TIẾT VÀ HƯỚNG DẪN THI HÀNH MỘT SỐ ĐIỀU CỦA LUẬT ĐƯỜNG SẮT</w:t>
      </w:r>
    </w:p>
    <w:bookmarkEnd w:id="1"/>
    <w:p w14:paraId="4D15B02F" w14:textId="77777777" w:rsidR="00C9089E" w:rsidRPr="00B757FE" w:rsidRDefault="00B757FE" w:rsidP="00717EBD">
      <w:pPr>
        <w:spacing w:after="120"/>
        <w:jc w:val="center"/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  <w:sz w:val="24"/>
          <w:szCs w:val="20"/>
        </w:rPr>
        <w:t>CHÍNH PHỦ</w:t>
      </w:r>
    </w:p>
    <w:p w14:paraId="5414CCAC" w14:textId="77777777" w:rsidR="00C9089E" w:rsidRPr="00B757FE" w:rsidRDefault="00C9089E" w:rsidP="00717EBD">
      <w:pPr>
        <w:pStyle w:val="BodyTextIndent2"/>
        <w:spacing w:before="0" w:after="120"/>
        <w:ind w:firstLine="0"/>
        <w:jc w:val="left"/>
        <w:rPr>
          <w:rFonts w:ascii="Arial" w:hAnsi="Arial"/>
          <w:i/>
          <w:sz w:val="20"/>
          <w:szCs w:val="20"/>
        </w:rPr>
      </w:pPr>
      <w:proofErr w:type="spellStart"/>
      <w:r w:rsidRPr="00B757FE">
        <w:rPr>
          <w:rFonts w:ascii="Arial" w:hAnsi="Arial"/>
          <w:i/>
          <w:sz w:val="20"/>
          <w:szCs w:val="20"/>
        </w:rPr>
        <w:t>C</w:t>
      </w:r>
      <w:r w:rsidRPr="00B757FE">
        <w:rPr>
          <w:rFonts w:ascii="Arial" w:hAnsi="Arial" w:hint="eastAsia"/>
          <w:i/>
          <w:sz w:val="20"/>
          <w:szCs w:val="20"/>
        </w:rPr>
        <w:t>ă</w:t>
      </w:r>
      <w:r w:rsidRPr="00B757FE">
        <w:rPr>
          <w:rFonts w:ascii="Arial" w:hAnsi="Arial"/>
          <w:i/>
          <w:sz w:val="20"/>
          <w:szCs w:val="20"/>
        </w:rPr>
        <w:t>n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cứ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Luật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Tổ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chức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Chính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phủ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ngày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25 </w:t>
      </w:r>
      <w:proofErr w:type="spellStart"/>
      <w:r w:rsidRPr="00B757FE">
        <w:rPr>
          <w:rFonts w:ascii="Arial" w:hAnsi="Arial"/>
          <w:i/>
          <w:sz w:val="20"/>
          <w:szCs w:val="20"/>
        </w:rPr>
        <w:t>tháng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12 </w:t>
      </w:r>
      <w:proofErr w:type="spellStart"/>
      <w:r w:rsidRPr="00B757FE">
        <w:rPr>
          <w:rFonts w:ascii="Arial" w:hAnsi="Arial"/>
          <w:i/>
          <w:sz w:val="20"/>
          <w:szCs w:val="20"/>
        </w:rPr>
        <w:t>n</w:t>
      </w:r>
      <w:r w:rsidRPr="00B757FE">
        <w:rPr>
          <w:rFonts w:ascii="Arial" w:hAnsi="Arial" w:hint="eastAsia"/>
          <w:i/>
          <w:sz w:val="20"/>
          <w:szCs w:val="20"/>
        </w:rPr>
        <w:t>ă</w:t>
      </w:r>
      <w:r w:rsidRPr="00B757FE">
        <w:rPr>
          <w:rFonts w:ascii="Arial" w:hAnsi="Arial"/>
          <w:i/>
          <w:sz w:val="20"/>
          <w:szCs w:val="20"/>
        </w:rPr>
        <w:t>m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2001;</w:t>
      </w:r>
      <w:r w:rsidR="00B757FE" w:rsidRPr="00B757FE">
        <w:rPr>
          <w:rFonts w:ascii="Arial" w:hAnsi="Arial"/>
          <w:i/>
          <w:sz w:val="20"/>
          <w:szCs w:val="20"/>
        </w:rPr>
        <w:br/>
      </w:r>
      <w:proofErr w:type="spellStart"/>
      <w:r w:rsidRPr="00B757FE">
        <w:rPr>
          <w:rFonts w:ascii="Arial" w:hAnsi="Arial"/>
          <w:i/>
          <w:sz w:val="20"/>
          <w:szCs w:val="20"/>
        </w:rPr>
        <w:t>C</w:t>
      </w:r>
      <w:r w:rsidRPr="00B757FE">
        <w:rPr>
          <w:rFonts w:ascii="Arial" w:hAnsi="Arial" w:hint="eastAsia"/>
          <w:i/>
          <w:sz w:val="20"/>
          <w:szCs w:val="20"/>
        </w:rPr>
        <w:t>ă</w:t>
      </w:r>
      <w:r w:rsidRPr="00B757FE">
        <w:rPr>
          <w:rFonts w:ascii="Arial" w:hAnsi="Arial"/>
          <w:i/>
          <w:sz w:val="20"/>
          <w:szCs w:val="20"/>
        </w:rPr>
        <w:t>n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cứ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Luật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 w:hint="eastAsia"/>
          <w:i/>
          <w:sz w:val="20"/>
          <w:szCs w:val="20"/>
        </w:rPr>
        <w:t>Đư</w:t>
      </w:r>
      <w:r w:rsidRPr="00B757FE">
        <w:rPr>
          <w:rFonts w:ascii="Arial" w:hAnsi="Arial"/>
          <w:i/>
          <w:sz w:val="20"/>
          <w:szCs w:val="20"/>
        </w:rPr>
        <w:t>ờng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sắt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ngày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14 </w:t>
      </w:r>
      <w:proofErr w:type="spellStart"/>
      <w:r w:rsidRPr="00B757FE">
        <w:rPr>
          <w:rFonts w:ascii="Arial" w:hAnsi="Arial"/>
          <w:i/>
          <w:sz w:val="20"/>
          <w:szCs w:val="20"/>
        </w:rPr>
        <w:t>tháng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6 </w:t>
      </w:r>
      <w:proofErr w:type="spellStart"/>
      <w:r w:rsidRPr="00B757FE">
        <w:rPr>
          <w:rFonts w:ascii="Arial" w:hAnsi="Arial"/>
          <w:i/>
          <w:sz w:val="20"/>
          <w:szCs w:val="20"/>
        </w:rPr>
        <w:t>n</w:t>
      </w:r>
      <w:r w:rsidRPr="00B757FE">
        <w:rPr>
          <w:rFonts w:ascii="Arial" w:hAnsi="Arial" w:hint="eastAsia"/>
          <w:i/>
          <w:sz w:val="20"/>
          <w:szCs w:val="20"/>
        </w:rPr>
        <w:t>ă</w:t>
      </w:r>
      <w:r w:rsidRPr="00B757FE">
        <w:rPr>
          <w:rFonts w:ascii="Arial" w:hAnsi="Arial"/>
          <w:i/>
          <w:sz w:val="20"/>
          <w:szCs w:val="20"/>
        </w:rPr>
        <w:t>m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2005;</w:t>
      </w:r>
      <w:r w:rsidR="00B757FE" w:rsidRPr="00B757FE">
        <w:rPr>
          <w:rFonts w:ascii="Arial" w:hAnsi="Arial"/>
          <w:i/>
          <w:sz w:val="20"/>
          <w:szCs w:val="20"/>
        </w:rPr>
        <w:br/>
      </w:r>
      <w:proofErr w:type="spellStart"/>
      <w:r w:rsidRPr="00B757FE">
        <w:rPr>
          <w:rFonts w:ascii="Arial" w:hAnsi="Arial"/>
          <w:i/>
          <w:sz w:val="20"/>
          <w:szCs w:val="20"/>
        </w:rPr>
        <w:t>Xét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 w:hint="eastAsia"/>
          <w:i/>
          <w:sz w:val="20"/>
          <w:szCs w:val="20"/>
        </w:rPr>
        <w:t>đ</w:t>
      </w:r>
      <w:r w:rsidRPr="00B757FE">
        <w:rPr>
          <w:rFonts w:ascii="Arial" w:hAnsi="Arial"/>
          <w:i/>
          <w:sz w:val="20"/>
          <w:szCs w:val="20"/>
        </w:rPr>
        <w:t>ề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nghị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của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Bộ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tr</w:t>
      </w:r>
      <w:r w:rsidRPr="00B757FE">
        <w:rPr>
          <w:rFonts w:ascii="Arial" w:hAnsi="Arial" w:hint="eastAsia"/>
          <w:i/>
          <w:sz w:val="20"/>
          <w:szCs w:val="20"/>
        </w:rPr>
        <w:t>ư</w:t>
      </w:r>
      <w:r w:rsidRPr="00B757FE">
        <w:rPr>
          <w:rFonts w:ascii="Arial" w:hAnsi="Arial"/>
          <w:i/>
          <w:sz w:val="20"/>
          <w:szCs w:val="20"/>
        </w:rPr>
        <w:t>ởng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Bộ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Giao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thông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vận</w:t>
      </w:r>
      <w:proofErr w:type="spellEnd"/>
      <w:r w:rsidRPr="00B757FE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i/>
          <w:sz w:val="20"/>
          <w:szCs w:val="20"/>
        </w:rPr>
        <w:t>tải</w:t>
      </w:r>
      <w:proofErr w:type="spellEnd"/>
      <w:r w:rsidRPr="00B757FE">
        <w:rPr>
          <w:rFonts w:ascii="Arial" w:hAnsi="Arial"/>
          <w:i/>
          <w:sz w:val="20"/>
          <w:szCs w:val="20"/>
        </w:rPr>
        <w:t>,</w:t>
      </w:r>
    </w:p>
    <w:p w14:paraId="3CFCB4E8" w14:textId="77777777" w:rsidR="00C9089E" w:rsidRPr="00B757FE" w:rsidRDefault="00B757FE" w:rsidP="00717EBD">
      <w:pPr>
        <w:spacing w:after="120"/>
        <w:jc w:val="center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 xml:space="preserve">NGHỊ </w:t>
      </w:r>
      <w:proofErr w:type="gramStart"/>
      <w:r>
        <w:rPr>
          <w:rFonts w:ascii="Arial" w:hAnsi="Arial"/>
          <w:b/>
          <w:sz w:val="24"/>
          <w:szCs w:val="20"/>
        </w:rPr>
        <w:t>ĐỊNH :</w:t>
      </w:r>
      <w:proofErr w:type="gramEnd"/>
    </w:p>
    <w:p w14:paraId="45B4FAA1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</w:rPr>
      </w:pPr>
      <w:bookmarkStart w:id="2" w:name="chuong_1"/>
      <w:proofErr w:type="spellStart"/>
      <w:r w:rsidRPr="00B757FE">
        <w:rPr>
          <w:rFonts w:ascii="Arial" w:hAnsi="Arial"/>
          <w:b/>
          <w:sz w:val="20"/>
          <w:szCs w:val="20"/>
        </w:rPr>
        <w:t>Ch</w:t>
      </w:r>
      <w:r w:rsidRPr="00B757FE">
        <w:rPr>
          <w:rFonts w:ascii="Arial" w:hAnsi="Arial" w:hint="eastAsia"/>
          <w:b/>
          <w:sz w:val="20"/>
          <w:szCs w:val="20"/>
        </w:rPr>
        <w:t>ươ</w:t>
      </w:r>
      <w:r w:rsidR="00B757FE">
        <w:rPr>
          <w:rFonts w:ascii="Arial" w:hAnsi="Arial"/>
          <w:b/>
          <w:sz w:val="20"/>
          <w:szCs w:val="20"/>
        </w:rPr>
        <w:t>ng</w:t>
      </w:r>
      <w:proofErr w:type="spellEnd"/>
      <w:r w:rsidR="00B757FE">
        <w:rPr>
          <w:rFonts w:ascii="Arial" w:hAnsi="Arial"/>
          <w:b/>
          <w:sz w:val="20"/>
          <w:szCs w:val="20"/>
        </w:rPr>
        <w:t xml:space="preserve"> 1</w:t>
      </w:r>
      <w:bookmarkEnd w:id="2"/>
      <w:r w:rsidR="00B757FE">
        <w:rPr>
          <w:rFonts w:ascii="Arial" w:hAnsi="Arial"/>
          <w:b/>
          <w:sz w:val="20"/>
          <w:szCs w:val="20"/>
        </w:rPr>
        <w:t>:</w:t>
      </w:r>
    </w:p>
    <w:p w14:paraId="4AFFBDDE" w14:textId="77777777" w:rsidR="00C9089E" w:rsidRPr="00B757FE" w:rsidRDefault="00B757FE" w:rsidP="00717EBD">
      <w:pPr>
        <w:spacing w:after="120"/>
        <w:jc w:val="center"/>
        <w:rPr>
          <w:rFonts w:ascii="Arial" w:hAnsi="Arial"/>
          <w:b/>
          <w:sz w:val="24"/>
          <w:szCs w:val="20"/>
        </w:rPr>
      </w:pPr>
      <w:bookmarkStart w:id="3" w:name="chuong_1_name"/>
      <w:r>
        <w:rPr>
          <w:rFonts w:ascii="Arial" w:hAnsi="Arial"/>
          <w:b/>
          <w:sz w:val="24"/>
          <w:szCs w:val="20"/>
        </w:rPr>
        <w:t>QUY ĐỊNH CHUNG</w:t>
      </w:r>
    </w:p>
    <w:p w14:paraId="5023BD26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</w:rPr>
      </w:pPr>
      <w:bookmarkStart w:id="4" w:name="dieu_1"/>
      <w:bookmarkEnd w:id="3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1. </w:t>
      </w:r>
      <w:proofErr w:type="spellStart"/>
      <w:r w:rsidRPr="00B757FE">
        <w:rPr>
          <w:rFonts w:ascii="Arial" w:hAnsi="Arial"/>
          <w:b/>
          <w:sz w:val="20"/>
          <w:szCs w:val="20"/>
        </w:rPr>
        <w:t>Phạm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chỉnh</w:t>
      </w:r>
      <w:proofErr w:type="spellEnd"/>
    </w:p>
    <w:bookmarkEnd w:id="4"/>
    <w:p w14:paraId="061C29E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này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chi </w:t>
      </w:r>
      <w:proofErr w:type="spellStart"/>
      <w:r w:rsidRPr="00B757FE">
        <w:rPr>
          <w:rFonts w:ascii="Arial" w:hAnsi="Arial"/>
          <w:sz w:val="20"/>
          <w:szCs w:val="20"/>
        </w:rPr>
        <w:t>tiết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hướng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dẫn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một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số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điều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Luật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về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tầng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đô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thị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kinh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doanh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quản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lý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sử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dụng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nguồn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tài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quản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lý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tầng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</w:rPr>
        <w:t>Nhà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nước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đầu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tư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miễn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giảm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vé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đối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tượng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xã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hội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danh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mục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hàng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hiểm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việc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hàng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hiểm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trách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nhiệm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ngang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thuộc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Ủy</w:t>
      </w:r>
      <w:proofErr w:type="spellEnd"/>
      <w:r w:rsidRPr="00B757FE">
        <w:rPr>
          <w:rFonts w:ascii="Arial" w:hAnsi="Arial"/>
          <w:sz w:val="20"/>
          <w:szCs w:val="20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</w:rPr>
        <w:t>nhân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tỉnh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thành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phố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thuộc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Trung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ương</w:t>
      </w:r>
      <w:proofErr w:type="spellEnd"/>
      <w:r w:rsidRPr="00B757FE">
        <w:rPr>
          <w:rFonts w:ascii="Arial" w:hAnsi="Arial"/>
          <w:sz w:val="20"/>
          <w:szCs w:val="20"/>
        </w:rPr>
        <w:t xml:space="preserve"> (</w:t>
      </w:r>
      <w:proofErr w:type="spellStart"/>
      <w:r w:rsidRPr="00B757FE">
        <w:rPr>
          <w:rFonts w:ascii="Arial" w:hAnsi="Arial"/>
          <w:sz w:val="20"/>
          <w:szCs w:val="20"/>
        </w:rPr>
        <w:t>sau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đây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gọi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Ủy</w:t>
      </w:r>
      <w:proofErr w:type="spellEnd"/>
      <w:r w:rsidRPr="00B757FE">
        <w:rPr>
          <w:rFonts w:ascii="Arial" w:hAnsi="Arial"/>
          <w:sz w:val="20"/>
          <w:szCs w:val="20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</w:rPr>
        <w:t>nhân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tỉnh</w:t>
      </w:r>
      <w:proofErr w:type="spellEnd"/>
      <w:r w:rsidRPr="00B757FE">
        <w:rPr>
          <w:rFonts w:ascii="Arial" w:hAnsi="Arial"/>
          <w:sz w:val="20"/>
          <w:szCs w:val="20"/>
        </w:rPr>
        <w:t xml:space="preserve">)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việc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đảm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tự</w:t>
      </w:r>
      <w:proofErr w:type="spellEnd"/>
      <w:r w:rsidRPr="00B757FE">
        <w:rPr>
          <w:rFonts w:ascii="Arial" w:hAnsi="Arial"/>
          <w:sz w:val="20"/>
          <w:szCs w:val="20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0181621C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</w:rPr>
      </w:pPr>
      <w:bookmarkStart w:id="5" w:name="dieu_2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2. </w:t>
      </w:r>
      <w:proofErr w:type="spellStart"/>
      <w:r w:rsidRPr="00B757FE">
        <w:rPr>
          <w:rFonts w:ascii="Arial" w:hAnsi="Arial"/>
          <w:b/>
          <w:sz w:val="20"/>
          <w:szCs w:val="20"/>
        </w:rPr>
        <w:t>Đối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tượng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áp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dụng</w:t>
      </w:r>
      <w:proofErr w:type="spellEnd"/>
    </w:p>
    <w:bookmarkEnd w:id="5"/>
    <w:p w14:paraId="5B9D8D0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này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áp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dụng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đối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tổ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chức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Việt</w:t>
      </w:r>
      <w:proofErr w:type="spellEnd"/>
      <w:r w:rsidRPr="00B757FE">
        <w:rPr>
          <w:rFonts w:ascii="Arial" w:hAnsi="Arial"/>
          <w:sz w:val="20"/>
          <w:szCs w:val="20"/>
        </w:rPr>
        <w:t xml:space="preserve"> Nam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tổ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chức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nước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ngoài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động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liên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đến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lãnh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thổ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Cộng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hòa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xã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hội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nghĩa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Việt</w:t>
      </w:r>
      <w:proofErr w:type="spellEnd"/>
      <w:r w:rsidRPr="00B757FE">
        <w:rPr>
          <w:rFonts w:ascii="Arial" w:hAnsi="Arial"/>
          <w:sz w:val="20"/>
          <w:szCs w:val="20"/>
        </w:rPr>
        <w:t xml:space="preserve"> Nam.</w:t>
      </w:r>
    </w:p>
    <w:p w14:paraId="46395DD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proofErr w:type="spellStart"/>
      <w:r w:rsidRPr="00B757FE">
        <w:rPr>
          <w:rFonts w:ascii="Arial" w:hAnsi="Arial"/>
          <w:sz w:val="20"/>
          <w:szCs w:val="20"/>
        </w:rPr>
        <w:t>Trường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hợp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điều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ước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quốc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tế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mà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Cộng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hòa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xã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hội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nghĩa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Việt</w:t>
      </w:r>
      <w:proofErr w:type="spellEnd"/>
      <w:r w:rsidRPr="00B757FE">
        <w:rPr>
          <w:rFonts w:ascii="Arial" w:hAnsi="Arial"/>
          <w:sz w:val="20"/>
          <w:szCs w:val="20"/>
        </w:rPr>
        <w:t xml:space="preserve"> Nam </w:t>
      </w:r>
      <w:proofErr w:type="spellStart"/>
      <w:r w:rsidRPr="00B757FE">
        <w:rPr>
          <w:rFonts w:ascii="Arial" w:hAnsi="Arial"/>
          <w:sz w:val="20"/>
          <w:szCs w:val="20"/>
        </w:rPr>
        <w:t>là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khác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này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thì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áp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dụng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điều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ước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quốc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tế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đó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21D16A1B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</w:rPr>
      </w:pPr>
      <w:bookmarkStart w:id="6" w:name="dieu_3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3. </w:t>
      </w:r>
      <w:proofErr w:type="spellStart"/>
      <w:r w:rsidRPr="00B757FE">
        <w:rPr>
          <w:rFonts w:ascii="Arial" w:hAnsi="Arial"/>
          <w:b/>
          <w:sz w:val="20"/>
          <w:szCs w:val="20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chuyên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dùng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không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kết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nối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với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quốc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gia</w:t>
      </w:r>
      <w:proofErr w:type="spellEnd"/>
    </w:p>
    <w:bookmarkEnd w:id="6"/>
    <w:p w14:paraId="79E04A5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proofErr w:type="spellStart"/>
      <w:r w:rsidRPr="00B757FE">
        <w:rPr>
          <w:rFonts w:ascii="Arial" w:hAnsi="Arial"/>
          <w:sz w:val="20"/>
          <w:szCs w:val="20"/>
        </w:rPr>
        <w:t>Việc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áp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dụng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tiêu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chuẩn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lượng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gramStart"/>
      <w:r w:rsidRPr="00B757FE">
        <w:rPr>
          <w:rFonts w:ascii="Arial" w:hAnsi="Arial"/>
          <w:sz w:val="20"/>
          <w:szCs w:val="20"/>
        </w:rPr>
        <w:t>an</w:t>
      </w:r>
      <w:proofErr w:type="gram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kỹ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thuật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vệ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môi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phương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tiêu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chuẩn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tầng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kỹ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thuật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khai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theo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2C912F8B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</w:rPr>
      </w:pPr>
      <w:bookmarkStart w:id="7" w:name="dieu_4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4. </w:t>
      </w:r>
      <w:proofErr w:type="spellStart"/>
      <w:r w:rsidRPr="00B757FE">
        <w:rPr>
          <w:rFonts w:ascii="Arial" w:hAnsi="Arial"/>
          <w:b/>
          <w:sz w:val="20"/>
          <w:szCs w:val="20"/>
        </w:rPr>
        <w:t>Quản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lý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và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tổ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chức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thực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hiện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quy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hoạch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phát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triển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sắt</w:t>
      </w:r>
      <w:proofErr w:type="spellEnd"/>
    </w:p>
    <w:bookmarkEnd w:id="7"/>
    <w:p w14:paraId="58D9C10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chịu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nhiệm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quản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lý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tổ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chức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tổng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thể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phê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duyệt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chi </w:t>
      </w:r>
      <w:proofErr w:type="spellStart"/>
      <w:r w:rsidRPr="00B757FE">
        <w:rPr>
          <w:rFonts w:ascii="Arial" w:hAnsi="Arial"/>
          <w:sz w:val="20"/>
          <w:szCs w:val="20"/>
        </w:rPr>
        <w:t>tiết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tầng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từng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đoạn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từng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khu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phù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hợp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tổng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thể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được</w:t>
      </w:r>
      <w:proofErr w:type="spellEnd"/>
      <w:r w:rsidR="001079E1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tướng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phê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duyệt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34CF526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Đầu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tư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Tài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ngành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liên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cứ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chức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năng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nhiệm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vụ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mình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hoặc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phối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hợp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những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việc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liên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đến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tổng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thể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được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tướng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phê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duyệt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109A2FD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</w:rPr>
        <w:t>Ủy</w:t>
      </w:r>
      <w:proofErr w:type="spellEnd"/>
      <w:r w:rsidRPr="00B757FE">
        <w:rPr>
          <w:rFonts w:ascii="Arial" w:hAnsi="Arial"/>
          <w:sz w:val="20"/>
          <w:szCs w:val="20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</w:rPr>
        <w:t>nhân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đi</w:t>
      </w:r>
      <w:proofErr w:type="spellEnd"/>
      <w:r w:rsidRPr="00B757FE">
        <w:rPr>
          <w:rFonts w:ascii="Arial" w:hAnsi="Arial"/>
          <w:sz w:val="20"/>
          <w:szCs w:val="20"/>
        </w:rPr>
        <w:t xml:space="preserve"> qua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nhiệm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phối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hợp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vệ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0629F17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</w:rPr>
        <w:t>Doanh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nghiệp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kinh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doanh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căn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cứ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vào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ngành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="00C4186A" w:rsidRPr="00B757FE">
        <w:rPr>
          <w:rFonts w:ascii="Arial" w:hAnsi="Arial"/>
          <w:sz w:val="20"/>
          <w:szCs w:val="20"/>
        </w:rPr>
        <w:t>nghề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kinh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doanh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của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4186A" w:rsidRPr="00B757FE">
        <w:rPr>
          <w:rFonts w:ascii="Arial" w:hAnsi="Arial"/>
          <w:sz w:val="20"/>
          <w:szCs w:val="20"/>
        </w:rPr>
        <w:t>mình</w:t>
      </w:r>
      <w:proofErr w:type="spellEnd"/>
      <w:r w:rsidR="00C4186A"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nhiệm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đầu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tư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tầng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phương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sở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nghiệp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dịch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vụ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trang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thiết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phù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hợp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hoạch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được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phê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duyệt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12216270" w14:textId="77777777" w:rsidR="00C9089E" w:rsidRPr="00B757FE" w:rsidRDefault="00717EBD" w:rsidP="00717EBD">
      <w:pPr>
        <w:spacing w:after="120"/>
        <w:rPr>
          <w:rFonts w:ascii="Arial" w:hAnsi="Arial"/>
          <w:b/>
          <w:sz w:val="20"/>
          <w:szCs w:val="20"/>
        </w:rPr>
      </w:pPr>
      <w:bookmarkStart w:id="8" w:name="chuong_2"/>
      <w:proofErr w:type="spellStart"/>
      <w:r>
        <w:rPr>
          <w:rFonts w:ascii="Arial" w:hAnsi="Arial"/>
          <w:b/>
          <w:sz w:val="20"/>
          <w:szCs w:val="20"/>
        </w:rPr>
        <w:t>Chương</w:t>
      </w:r>
      <w:proofErr w:type="spellEnd"/>
      <w:r>
        <w:rPr>
          <w:rFonts w:ascii="Arial" w:hAnsi="Arial"/>
          <w:b/>
          <w:sz w:val="20"/>
          <w:szCs w:val="20"/>
        </w:rPr>
        <w:t xml:space="preserve"> 2</w:t>
      </w:r>
      <w:bookmarkEnd w:id="8"/>
      <w:r>
        <w:rPr>
          <w:rFonts w:ascii="Arial" w:hAnsi="Arial"/>
          <w:b/>
          <w:sz w:val="20"/>
          <w:szCs w:val="20"/>
        </w:rPr>
        <w:t>:</w:t>
      </w:r>
    </w:p>
    <w:p w14:paraId="25CA0DFF" w14:textId="77777777" w:rsidR="00C9089E" w:rsidRPr="00717EBD" w:rsidRDefault="00717EBD" w:rsidP="00717EBD">
      <w:pPr>
        <w:spacing w:after="120"/>
        <w:jc w:val="center"/>
        <w:rPr>
          <w:rFonts w:ascii="Arial" w:hAnsi="Arial"/>
          <w:b/>
          <w:sz w:val="24"/>
          <w:szCs w:val="20"/>
        </w:rPr>
      </w:pPr>
      <w:bookmarkStart w:id="9" w:name="chuong_2_name"/>
      <w:r>
        <w:rPr>
          <w:rFonts w:ascii="Arial" w:hAnsi="Arial"/>
          <w:b/>
          <w:sz w:val="24"/>
          <w:szCs w:val="20"/>
        </w:rPr>
        <w:t>KẾT CẤU HẠ TẦNG ĐƯỜNG SẮT</w:t>
      </w:r>
    </w:p>
    <w:p w14:paraId="5387C906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</w:rPr>
      </w:pPr>
      <w:bookmarkStart w:id="10" w:name="dieu_5"/>
      <w:bookmarkEnd w:id="9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5. </w:t>
      </w:r>
      <w:proofErr w:type="spellStart"/>
      <w:r w:rsidRPr="00B757FE">
        <w:rPr>
          <w:rFonts w:ascii="Arial" w:hAnsi="Arial"/>
          <w:b/>
          <w:sz w:val="20"/>
          <w:szCs w:val="20"/>
        </w:rPr>
        <w:t>Đất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dành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cho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</w:rPr>
        <w:t>sắt</w:t>
      </w:r>
      <w:proofErr w:type="spellEnd"/>
    </w:p>
    <w:bookmarkEnd w:id="10"/>
    <w:p w14:paraId="1B37DFC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bao </w:t>
      </w:r>
      <w:proofErr w:type="spellStart"/>
      <w:r w:rsidRPr="00B757FE">
        <w:rPr>
          <w:rFonts w:ascii="Arial" w:hAnsi="Arial"/>
          <w:sz w:val="20"/>
          <w:szCs w:val="20"/>
        </w:rPr>
        <w:t>gồm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để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xây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dựng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phạm</w:t>
      </w:r>
      <w:proofErr w:type="spellEnd"/>
      <w:r w:rsidRPr="00B757FE">
        <w:rPr>
          <w:rFonts w:ascii="Arial" w:hAnsi="Arial"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vệ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phạm</w:t>
      </w:r>
      <w:proofErr w:type="spellEnd"/>
      <w:r w:rsidRPr="00B757FE">
        <w:rPr>
          <w:rFonts w:ascii="Arial" w:hAnsi="Arial"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</w:rPr>
        <w:t>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lang</w:t>
      </w:r>
      <w:proofErr w:type="spellEnd"/>
      <w:r w:rsidRPr="00B757FE">
        <w:rPr>
          <w:rFonts w:ascii="Arial" w:hAnsi="Arial"/>
          <w:sz w:val="20"/>
          <w:szCs w:val="20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4990545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</w:rPr>
        <w:lastRenderedPageBreak/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720176" w:rsidRPr="00B757FE">
        <w:rPr>
          <w:rFonts w:ascii="Arial" w:hAnsi="Arial"/>
          <w:spacing w:val="-2"/>
          <w:sz w:val="20"/>
          <w:szCs w:val="20"/>
          <w:lang w:val="fr-FR"/>
        </w:rPr>
        <w:t>đườn</w:t>
      </w:r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g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;</w:t>
      </w:r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đích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đã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phê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duyệt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đai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</w:t>
      </w:r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hịu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</w:t>
      </w:r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ông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proofErr w:type="gram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;</w:t>
      </w:r>
      <w:proofErr w:type="gram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phát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hiện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xử</w:t>
      </w:r>
      <w:proofErr w:type="spellEnd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022C4" w:rsidRPr="00B757FE">
        <w:rPr>
          <w:rFonts w:ascii="Arial" w:hAnsi="Arial"/>
          <w:spacing w:val="-2"/>
          <w:sz w:val="20"/>
          <w:szCs w:val="20"/>
          <w:lang w:val="fr-FR"/>
        </w:rPr>
        <w:t>phạt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>.</w:t>
      </w:r>
    </w:p>
    <w:p w14:paraId="40FF99C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dưới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1,5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đắp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thoát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thoát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3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8BAD516" w14:textId="77777777" w:rsidR="00C9089E" w:rsidRPr="00B757FE" w:rsidRDefault="00C9089E" w:rsidP="00717EBD">
      <w:pPr>
        <w:spacing w:after="120"/>
        <w:rPr>
          <w:rFonts w:ascii="Arial" w:hAnsi="Arial"/>
          <w:spacing w:val="-4"/>
          <w:sz w:val="20"/>
          <w:szCs w:val="20"/>
          <w:lang w:val="fr-FR"/>
        </w:rPr>
      </w:pPr>
      <w:bookmarkStart w:id="11" w:name="cumtu_1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như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pacing w:val="-4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>:</w:t>
      </w:r>
      <w:proofErr w:type="gramEnd"/>
    </w:p>
    <w:bookmarkEnd w:id="11"/>
    <w:p w14:paraId="228D818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29AE543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huyện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duyệt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FE24CE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duyệt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huyện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7AC075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12" w:name="cumtu_2"/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huyện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soát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bookmarkEnd w:id="12"/>
    <w:p w14:paraId="2DA35A6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  <w:r w:rsidR="001079E1">
        <w:rPr>
          <w:rFonts w:ascii="Arial" w:hAnsi="Arial"/>
          <w:sz w:val="20"/>
          <w:szCs w:val="20"/>
          <w:lang w:val="fr-FR"/>
        </w:rPr>
        <w:t xml:space="preserve"> </w:t>
      </w:r>
    </w:p>
    <w:p w14:paraId="6ECFA5D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-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khỏe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F19F81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-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khỏe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đích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124F027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B547A"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="001B54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B547A"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="001B54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B547A"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="001B54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B547A"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="001B54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B547A"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="001B54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33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C1F4C7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57C5C0B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chặn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lấn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chiếm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buộc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87EB83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xảy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lấn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chiếm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106F103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FCE0B3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13" w:name="dieu_6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lastRenderedPageBreak/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6.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ưu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đãi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thị</w:t>
      </w:r>
      <w:proofErr w:type="spellEnd"/>
    </w:p>
    <w:bookmarkEnd w:id="13"/>
    <w:p w14:paraId="6E8FF7E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2426D72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gồm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kè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chắn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thoát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tin,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hầm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xe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118B27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container (ICD)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nằm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B84052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mặt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2C7902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mặt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CF1F05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miễn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khẩu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chưa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89EE6D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Riêng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duyệt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30B482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6.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2DC1641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14" w:name="dieu_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7.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ở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vùng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lân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cận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14"/>
    <w:p w14:paraId="204E687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ở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B0BA26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15" w:name="cumtu_3"/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</w:t>
      </w:r>
      <w:r w:rsidR="00DD603A" w:rsidRPr="00B757FE">
        <w:rPr>
          <w:rFonts w:ascii="Arial" w:hAnsi="Arial"/>
          <w:sz w:val="20"/>
          <w:szCs w:val="20"/>
          <w:lang w:val="fr-FR"/>
        </w:rPr>
        <w:t>ối</w:t>
      </w:r>
      <w:proofErr w:type="spellEnd"/>
      <w:r w:rsidR="00DD603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D603A" w:rsidRPr="00B757FE">
        <w:rPr>
          <w:rFonts w:ascii="Arial" w:hAnsi="Arial"/>
          <w:sz w:val="20"/>
          <w:szCs w:val="20"/>
          <w:lang w:val="fr-FR"/>
        </w:rPr>
        <w:t>thiểu</w:t>
      </w:r>
      <w:proofErr w:type="spellEnd"/>
      <w:r w:rsidR="00DD603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D603A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DD603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D603A"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="00DD603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D603A"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="00DD603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D603A"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="00DD603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D603A"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ở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bookmarkEnd w:id="15"/>
    <w:p w14:paraId="08625A8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mét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4038CD4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Lò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lò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gốm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lò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lò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gang,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xi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10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mét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5E2818D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="001079E1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434F1B6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nhiễu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tin,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đứt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CDBD41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ngay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864C96E" w14:textId="77777777" w:rsidR="00C9089E" w:rsidRPr="00B757FE" w:rsidRDefault="00B757F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16" w:name="chuong_3"/>
      <w:proofErr w:type="spellStart"/>
      <w:r>
        <w:rPr>
          <w:rFonts w:ascii="Arial" w:hAnsi="Arial"/>
          <w:b/>
          <w:sz w:val="20"/>
          <w:szCs w:val="20"/>
          <w:lang w:val="fr-FR"/>
        </w:rPr>
        <w:t>Chương</w:t>
      </w:r>
      <w:proofErr w:type="spellEnd"/>
      <w:r>
        <w:rPr>
          <w:rFonts w:ascii="Arial" w:hAnsi="Arial"/>
          <w:b/>
          <w:sz w:val="20"/>
          <w:szCs w:val="20"/>
          <w:lang w:val="fr-FR"/>
        </w:rPr>
        <w:t xml:space="preserve"> 3 </w:t>
      </w:r>
      <w:bookmarkEnd w:id="16"/>
      <w:r>
        <w:rPr>
          <w:rFonts w:ascii="Arial" w:hAnsi="Arial"/>
          <w:b/>
          <w:sz w:val="20"/>
          <w:szCs w:val="20"/>
          <w:lang w:val="fr-FR"/>
        </w:rPr>
        <w:t>:</w:t>
      </w:r>
    </w:p>
    <w:p w14:paraId="3D904E96" w14:textId="77777777" w:rsidR="00C9089E" w:rsidRPr="00B757FE" w:rsidRDefault="00B757FE" w:rsidP="00717EBD">
      <w:pPr>
        <w:spacing w:after="120"/>
        <w:jc w:val="center"/>
        <w:rPr>
          <w:rFonts w:ascii="Arial" w:hAnsi="Arial"/>
          <w:b/>
          <w:sz w:val="24"/>
          <w:szCs w:val="20"/>
          <w:lang w:val="fr-FR"/>
        </w:rPr>
      </w:pPr>
      <w:bookmarkStart w:id="17" w:name="chuong_3_name"/>
      <w:r>
        <w:rPr>
          <w:rFonts w:ascii="Arial" w:hAnsi="Arial"/>
          <w:b/>
          <w:sz w:val="24"/>
          <w:szCs w:val="20"/>
          <w:lang w:val="fr-FR"/>
        </w:rPr>
        <w:t>ĐƯỜNG SẮT ĐÔ THỊ</w:t>
      </w:r>
    </w:p>
    <w:p w14:paraId="6423B139" w14:textId="77777777" w:rsidR="00C9089E" w:rsidRPr="00B757FE" w:rsidRDefault="00C9089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18" w:name="dieu_8"/>
      <w:bookmarkEnd w:id="1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8.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thị</w:t>
      </w:r>
      <w:proofErr w:type="spellEnd"/>
    </w:p>
    <w:bookmarkEnd w:id="18"/>
    <w:p w14:paraId="4852C4A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2A4F188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là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tâm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du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trò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thúc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đẩy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-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hội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76DC9E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Tỷ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lao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phi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lao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chiếm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85%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9E7F70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2FD1D1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12.000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/km</w:t>
      </w:r>
      <w:r w:rsidRPr="00B757FE">
        <w:rPr>
          <w:rFonts w:ascii="Arial" w:hAnsi="Arial"/>
          <w:sz w:val="20"/>
          <w:szCs w:val="20"/>
          <w:vertAlign w:val="superscript"/>
          <w:lang w:val="fr-FR"/>
        </w:rPr>
        <w:t>2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351C8C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19" w:name="dieu_9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lastRenderedPageBreak/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9.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thị</w:t>
      </w:r>
      <w:proofErr w:type="spellEnd"/>
    </w:p>
    <w:bookmarkEnd w:id="19"/>
    <w:p w14:paraId="538F864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4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56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4203148" w14:textId="77777777" w:rsidR="00C9089E" w:rsidRPr="00B757FE" w:rsidRDefault="00B757F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20" w:name="chuong_4"/>
      <w:proofErr w:type="spellStart"/>
      <w:r>
        <w:rPr>
          <w:rFonts w:ascii="Arial" w:hAnsi="Arial"/>
          <w:b/>
          <w:sz w:val="20"/>
          <w:szCs w:val="20"/>
          <w:lang w:val="fr-FR"/>
        </w:rPr>
        <w:t>Chương</w:t>
      </w:r>
      <w:proofErr w:type="spellEnd"/>
      <w:r>
        <w:rPr>
          <w:rFonts w:ascii="Arial" w:hAnsi="Arial"/>
          <w:b/>
          <w:sz w:val="20"/>
          <w:szCs w:val="20"/>
          <w:lang w:val="fr-FR"/>
        </w:rPr>
        <w:t xml:space="preserve"> 4 </w:t>
      </w:r>
      <w:bookmarkEnd w:id="20"/>
      <w:r>
        <w:rPr>
          <w:rFonts w:ascii="Arial" w:hAnsi="Arial"/>
          <w:b/>
          <w:sz w:val="20"/>
          <w:szCs w:val="20"/>
          <w:lang w:val="fr-FR"/>
        </w:rPr>
        <w:t>:</w:t>
      </w:r>
    </w:p>
    <w:p w14:paraId="220F73EB" w14:textId="77777777" w:rsidR="00C9089E" w:rsidRPr="00B757FE" w:rsidRDefault="00B757FE" w:rsidP="00717EBD">
      <w:pPr>
        <w:spacing w:after="120"/>
        <w:jc w:val="center"/>
        <w:rPr>
          <w:rFonts w:ascii="Arial" w:hAnsi="Arial"/>
          <w:b/>
          <w:sz w:val="24"/>
          <w:szCs w:val="20"/>
          <w:lang w:val="fr-FR"/>
        </w:rPr>
      </w:pPr>
      <w:bookmarkStart w:id="21" w:name="chuong_4_name"/>
      <w:r>
        <w:rPr>
          <w:rFonts w:ascii="Arial" w:hAnsi="Arial"/>
          <w:b/>
          <w:sz w:val="24"/>
          <w:szCs w:val="20"/>
          <w:lang w:val="fr-FR"/>
        </w:rPr>
        <w:t>KINH DOANH ĐƯỜNG SẮT</w:t>
      </w:r>
    </w:p>
    <w:p w14:paraId="45DED34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2" w:name="dieu_10"/>
      <w:bookmarkEnd w:id="21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</w:t>
      </w:r>
      <w:r w:rsidR="002760B9" w:rsidRPr="00B757FE">
        <w:rPr>
          <w:rFonts w:ascii="Arial" w:hAnsi="Arial"/>
          <w:b/>
          <w:sz w:val="20"/>
          <w:szCs w:val="20"/>
          <w:lang w:val="fr-FR"/>
        </w:rPr>
        <w:t>0</w:t>
      </w:r>
      <w:r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</w:p>
    <w:bookmarkEnd w:id="22"/>
    <w:p w14:paraId="105BA9D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78EE07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F46F74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089066E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3" w:name="dieu_11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11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chung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về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3"/>
    <w:p w14:paraId="33C8872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K</w:t>
      </w:r>
      <w:r w:rsidRPr="00B757FE">
        <w:rPr>
          <w:rFonts w:ascii="Arial" w:hAnsi="Arial"/>
          <w:sz w:val="20"/>
          <w:szCs w:val="20"/>
          <w:lang w:val="fr-FR"/>
        </w:rPr>
        <w:t>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gồm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hình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="00BD4ABA"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2EF67B5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40E5FEE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52710FB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56753FA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6B18489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gramStart"/>
      <w:r w:rsidRPr="00B757FE">
        <w:rPr>
          <w:rFonts w:ascii="Arial" w:hAnsi="Arial"/>
          <w:sz w:val="20"/>
          <w:szCs w:val="20"/>
          <w:lang w:val="fr-FR"/>
        </w:rPr>
        <w:t>đ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lắp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</w:p>
    <w:p w14:paraId="1DA53E3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e)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6750A5E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g)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BF9C4F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tác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(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gọi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chung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là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AC4E5C"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="00AC4E5C" w:rsidRPr="00B757FE">
        <w:rPr>
          <w:rFonts w:ascii="Arial" w:hAnsi="Arial"/>
          <w:sz w:val="20"/>
          <w:szCs w:val="20"/>
          <w:lang w:val="fr-FR"/>
        </w:rPr>
        <w:t>)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58072CF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Là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Nam;</w:t>
      </w:r>
      <w:proofErr w:type="gramEnd"/>
    </w:p>
    <w:p w14:paraId="2654369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07BF810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8C48250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4" w:name="dieu_12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12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4"/>
    <w:p w14:paraId="05C82270" w14:textId="77777777" w:rsidR="00C9089E" w:rsidRPr="00B757FE" w:rsidRDefault="00C9089E" w:rsidP="00717EBD">
      <w:pPr>
        <w:spacing w:after="120"/>
        <w:rPr>
          <w:rFonts w:ascii="Arial" w:hAnsi="Arial"/>
          <w:spacing w:val="-6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pacing w:val="-6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>:</w:t>
      </w:r>
      <w:proofErr w:type="gram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</w:p>
    <w:p w14:paraId="69DDE15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</w:t>
      </w:r>
      <w:r w:rsidR="00D65971" w:rsidRPr="00B757FE">
        <w:rPr>
          <w:rFonts w:ascii="Arial" w:hAnsi="Arial"/>
          <w:sz w:val="20"/>
          <w:szCs w:val="20"/>
          <w:lang w:val="fr-FR"/>
        </w:rPr>
        <w:t>1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01A27A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75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670579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EDBE8A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578755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D4ABA"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="00BD4AB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86257"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="00286257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86257"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(03)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46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93A602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6.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1, 2, 3, 4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F86F28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7.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1, 2, 3, 4, 5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6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giờ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7143B9B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5" w:name="dieu_13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13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kết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cấu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tầng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5"/>
    <w:p w14:paraId="1E3F731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</w:p>
    <w:p w14:paraId="032FF62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lastRenderedPageBreak/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</w:t>
      </w:r>
      <w:r w:rsidR="00D65971" w:rsidRPr="00B757FE">
        <w:rPr>
          <w:rFonts w:ascii="Arial" w:hAnsi="Arial"/>
          <w:sz w:val="20"/>
          <w:szCs w:val="20"/>
          <w:lang w:val="fr-FR"/>
        </w:rPr>
        <w:t>1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2030F1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75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A676FF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</w:t>
      </w:r>
      <w:r w:rsidR="00286257" w:rsidRPr="00B757FE">
        <w:rPr>
          <w:rFonts w:ascii="Arial" w:hAnsi="Arial"/>
          <w:sz w:val="20"/>
          <w:szCs w:val="20"/>
          <w:lang w:val="fr-FR"/>
        </w:rPr>
        <w:t>ỹ</w:t>
      </w:r>
      <w:proofErr w:type="spellEnd"/>
      <w:r w:rsidR="00286257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86257"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(03)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46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nắm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D3EB8C2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6" w:name="dieu_14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14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xếp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hóa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tại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có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6"/>
    <w:p w14:paraId="4A42D18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006C125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</w:t>
      </w:r>
      <w:r w:rsidR="00D65971" w:rsidRPr="00B757FE">
        <w:rPr>
          <w:rFonts w:ascii="Arial" w:hAnsi="Arial"/>
          <w:sz w:val="20"/>
          <w:szCs w:val="20"/>
          <w:lang w:val="fr-FR"/>
        </w:rPr>
        <w:t>1</w:t>
      </w:r>
      <w:r w:rsidR="00E60C22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D084A3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2147CD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707483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môn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D6AFBBD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7" w:name="dieu_15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15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lưu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kho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bảo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hóa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tại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7"/>
    <w:p w14:paraId="3C4868B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40E4F87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</w:t>
      </w:r>
      <w:r w:rsidR="00D65971" w:rsidRPr="00B757FE">
        <w:rPr>
          <w:rFonts w:ascii="Arial" w:hAnsi="Arial"/>
          <w:sz w:val="20"/>
          <w:szCs w:val="20"/>
          <w:lang w:val="fr-FR"/>
        </w:rPr>
        <w:t>1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B1D910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85092A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617E358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8" w:name="dieu_16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16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sản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xuất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lắp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ráp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hoán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phục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hồi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phương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giao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8"/>
    <w:p w14:paraId="4D79816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lắp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496655D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</w:t>
      </w:r>
      <w:r w:rsidR="00D65971" w:rsidRPr="00B757FE">
        <w:rPr>
          <w:rFonts w:ascii="Arial" w:hAnsi="Arial"/>
          <w:sz w:val="20"/>
          <w:szCs w:val="20"/>
          <w:lang w:val="fr-FR"/>
        </w:rPr>
        <w:t>1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5F7D18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F2DF94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chữa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ngừa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ô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nhiễm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duyệt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1C07BA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(01)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0544FE5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29" w:name="dieu_1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17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Nội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dung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tự</w:t>
      </w:r>
      <w:proofErr w:type="spellEnd"/>
      <w:r w:rsidR="00876875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876875" w:rsidRPr="00B757FE">
        <w:rPr>
          <w:rFonts w:ascii="Arial" w:hAnsi="Arial"/>
          <w:b/>
          <w:sz w:val="20"/>
          <w:szCs w:val="20"/>
          <w:lang w:val="fr-FR"/>
        </w:rPr>
        <w:t>thủ</w:t>
      </w:r>
      <w:proofErr w:type="spellEnd"/>
      <w:r w:rsidR="00876875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876875" w:rsidRPr="00B757FE">
        <w:rPr>
          <w:rFonts w:ascii="Arial" w:hAnsi="Arial"/>
          <w:b/>
          <w:sz w:val="20"/>
          <w:szCs w:val="20"/>
          <w:lang w:val="fr-FR"/>
        </w:rPr>
        <w:t>tục</w:t>
      </w:r>
      <w:proofErr w:type="spellEnd"/>
      <w:r w:rsidR="00876875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cấp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sửa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đổi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bổ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sung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hồi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giấy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chứng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đăng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ký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29"/>
    <w:p w14:paraId="2D89CDB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="00260B2E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260B2E"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="00260B2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60B2E" w:rsidRPr="00B757FE">
        <w:rPr>
          <w:rFonts w:ascii="Arial" w:hAnsi="Arial"/>
          <w:sz w:val="20"/>
          <w:szCs w:val="20"/>
          <w:lang w:val="fr-FR"/>
        </w:rPr>
        <w:t>tục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đổi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</w:t>
      </w:r>
      <w:r w:rsidR="00F40A66" w:rsidRPr="00B757FE">
        <w:rPr>
          <w:rFonts w:ascii="Arial" w:hAnsi="Arial"/>
          <w:sz w:val="20"/>
          <w:szCs w:val="20"/>
          <w:lang w:val="fr-FR"/>
        </w:rPr>
        <w:t>n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40A66"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40A66"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40A66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40A66"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40A66"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40A66"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="00F40A66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AA506C6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0" w:name="dieu_18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18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Xây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dựng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bố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lệnh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trọng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lệnh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tốc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biểu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đồ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chạy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tàu</w:t>
      </w:r>
      <w:proofErr w:type="spellEnd"/>
    </w:p>
    <w:bookmarkEnd w:id="30"/>
    <w:p w14:paraId="48019CF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lệnh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trọng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lệnh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0F0858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lệnh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trọng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lệnh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xảy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64064CA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1" w:name="dieu_19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19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định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chi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tiết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về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trên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31"/>
    <w:p w14:paraId="0F6768D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trưởng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chi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tiết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khách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, bao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gửi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D2CA0DC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2" w:name="dieu_20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</w:t>
      </w:r>
      <w:r w:rsidR="00BB4E2C" w:rsidRPr="00B757FE">
        <w:rPr>
          <w:rFonts w:ascii="Arial" w:hAnsi="Arial"/>
          <w:b/>
          <w:sz w:val="20"/>
          <w:szCs w:val="20"/>
          <w:lang w:val="fr-FR"/>
        </w:rPr>
        <w:t>0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lý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sử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dụng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nguồn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tài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chính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lý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bảo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kết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cấu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tầng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do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Nhà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nước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đầu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tư</w:t>
      </w:r>
      <w:proofErr w:type="spellEnd"/>
    </w:p>
    <w:bookmarkEnd w:id="32"/>
    <w:p w14:paraId="0423D6F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Nguồn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6DFAF5B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4FB2761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lastRenderedPageBreak/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chữa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nâng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luôn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suốt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0C684BF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khắc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hậu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tai,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6C2D7A"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="006C2D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6C2D7A"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6C2D7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suốt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836D16B" w14:textId="77777777" w:rsidR="0000422C" w:rsidRPr="00B757FE" w:rsidRDefault="0000422C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A0CC06E" w14:textId="77777777" w:rsidR="00C9089E" w:rsidRPr="00B757FE" w:rsidRDefault="0000422C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>3</w:t>
      </w:r>
      <w:r w:rsidR="00C9089E"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730AD3"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="00730AD3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730AD3"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="00730AD3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730AD3"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="00730AD3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4C79EF" w:rsidRPr="00B757FE">
        <w:rPr>
          <w:rFonts w:ascii="Arial" w:hAnsi="Arial"/>
          <w:sz w:val="20"/>
          <w:szCs w:val="20"/>
          <w:lang w:val="fr-FR"/>
        </w:rPr>
        <w:t>đặt</w:t>
      </w:r>
      <w:proofErr w:type="spellEnd"/>
      <w:r w:rsidR="004C79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C79EF"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="00730AD3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C79EF"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="004C79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C79EF"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="004C79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C79EF"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="004C79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C79EF"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cung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ứng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phẩm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ích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>.</w:t>
      </w:r>
    </w:p>
    <w:p w14:paraId="263EE52C" w14:textId="77777777" w:rsidR="00C9089E" w:rsidRPr="00B757FE" w:rsidRDefault="0000422C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>4</w:t>
      </w:r>
      <w:r w:rsidR="00C9089E"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thanh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toán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nguồn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ngân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>.</w:t>
      </w:r>
    </w:p>
    <w:p w14:paraId="55EA9F13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3" w:name="dieu_21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</w:t>
      </w:r>
      <w:r w:rsidR="00BB4E2C" w:rsidRPr="00B757FE">
        <w:rPr>
          <w:rFonts w:ascii="Arial" w:hAnsi="Arial"/>
          <w:b/>
          <w:sz w:val="20"/>
          <w:szCs w:val="20"/>
          <w:lang w:val="fr-FR"/>
        </w:rPr>
        <w:t>1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Miễn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giảm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vé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đối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tượng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chính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xã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hội</w:t>
      </w:r>
      <w:proofErr w:type="spellEnd"/>
    </w:p>
    <w:bookmarkEnd w:id="33"/>
    <w:p w14:paraId="24E590C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miễn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vé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15F07D0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1945;</w:t>
      </w:r>
      <w:proofErr w:type="gramEnd"/>
    </w:p>
    <w:p w14:paraId="45F8979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1945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khởi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19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1945;</w:t>
      </w:r>
      <w:proofErr w:type="gramEnd"/>
    </w:p>
    <w:p w14:paraId="6CDC118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Nam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5198950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binh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6599D72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gramStart"/>
      <w:r w:rsidRPr="00B757FE">
        <w:rPr>
          <w:rFonts w:ascii="Arial" w:hAnsi="Arial"/>
          <w:sz w:val="20"/>
          <w:szCs w:val="20"/>
          <w:lang w:val="fr-FR"/>
        </w:rPr>
        <w:t>đ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Bệnh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</w:p>
    <w:p w14:paraId="59DEDF8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e)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nhiễm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</w:p>
    <w:p w14:paraId="5633513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g)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90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tuổi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lên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09C02DF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h)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da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cam;</w:t>
      </w:r>
      <w:proofErr w:type="gramEnd"/>
    </w:p>
    <w:p w14:paraId="2CAEFA1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i)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nặng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="001079E1">
        <w:rPr>
          <w:rFonts w:ascii="Arial" w:hAnsi="Arial"/>
          <w:sz w:val="20"/>
          <w:szCs w:val="20"/>
          <w:lang w:val="fr-FR"/>
        </w:rPr>
        <w:t xml:space="preserve"> </w:t>
      </w:r>
    </w:p>
    <w:p w14:paraId="4FBC72F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k)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Trẻ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em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B93FD5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Lao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-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miễn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vé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đoạn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-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hội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76B03F7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4" w:name="dieu_22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22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Hỗ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trợ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chạy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tàu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trong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hợp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đặc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biệt</w:t>
      </w:r>
      <w:proofErr w:type="spellEnd"/>
    </w:p>
    <w:bookmarkEnd w:id="34"/>
    <w:p w14:paraId="6F84034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307912" w:rsidRPr="00B757FE">
        <w:rPr>
          <w:rFonts w:ascii="Arial" w:hAnsi="Arial"/>
          <w:sz w:val="20"/>
          <w:szCs w:val="20"/>
          <w:lang w:val="fr-FR"/>
        </w:rPr>
        <w:t>duy</w:t>
      </w:r>
      <w:proofErr w:type="spellEnd"/>
      <w:r w:rsidR="00307912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307912"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="00307912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yêu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-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="00F074F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74FF" w:rsidRPr="00B757FE">
        <w:rPr>
          <w:rFonts w:ascii="Arial" w:hAnsi="Arial"/>
          <w:sz w:val="20"/>
          <w:szCs w:val="20"/>
          <w:lang w:val="fr-FR"/>
        </w:rPr>
        <w:t>hội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yêu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đắp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307912" w:rsidRPr="00B757FE">
        <w:rPr>
          <w:rFonts w:ascii="Arial" w:hAnsi="Arial"/>
          <w:sz w:val="20"/>
          <w:szCs w:val="20"/>
          <w:lang w:val="fr-FR"/>
        </w:rPr>
        <w:t>hỗ</w:t>
      </w:r>
      <w:proofErr w:type="spellEnd"/>
      <w:r w:rsidR="00307912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307912" w:rsidRPr="00B757FE">
        <w:rPr>
          <w:rFonts w:ascii="Arial" w:hAnsi="Arial"/>
          <w:sz w:val="20"/>
          <w:szCs w:val="20"/>
          <w:lang w:val="fr-FR"/>
        </w:rPr>
        <w:t>trợ</w:t>
      </w:r>
      <w:proofErr w:type="spellEnd"/>
      <w:r w:rsidR="00307912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67DBD5D" w14:textId="77777777" w:rsidR="00C9089E" w:rsidRPr="00B757FE" w:rsidRDefault="00B757F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35" w:name="chuong_5"/>
      <w:proofErr w:type="spellStart"/>
      <w:r>
        <w:rPr>
          <w:rFonts w:ascii="Arial" w:hAnsi="Arial"/>
          <w:b/>
          <w:sz w:val="20"/>
          <w:szCs w:val="20"/>
          <w:lang w:val="fr-FR"/>
        </w:rPr>
        <w:t>Chương</w:t>
      </w:r>
      <w:proofErr w:type="spellEnd"/>
      <w:r>
        <w:rPr>
          <w:rFonts w:ascii="Arial" w:hAnsi="Arial"/>
          <w:b/>
          <w:sz w:val="20"/>
          <w:szCs w:val="20"/>
          <w:lang w:val="fr-FR"/>
        </w:rPr>
        <w:t xml:space="preserve"> 5 </w:t>
      </w:r>
      <w:bookmarkEnd w:id="35"/>
      <w:r>
        <w:rPr>
          <w:rFonts w:ascii="Arial" w:hAnsi="Arial"/>
          <w:b/>
          <w:sz w:val="20"/>
          <w:szCs w:val="20"/>
          <w:lang w:val="fr-FR"/>
        </w:rPr>
        <w:t>:</w:t>
      </w:r>
    </w:p>
    <w:p w14:paraId="10D6703B" w14:textId="77777777" w:rsidR="00C9089E" w:rsidRPr="00B757FE" w:rsidRDefault="00B757FE" w:rsidP="00717EBD">
      <w:pPr>
        <w:spacing w:after="120"/>
        <w:jc w:val="center"/>
        <w:rPr>
          <w:rFonts w:ascii="Arial" w:hAnsi="Arial"/>
          <w:b/>
          <w:sz w:val="24"/>
          <w:szCs w:val="20"/>
          <w:lang w:val="fr-FR"/>
        </w:rPr>
      </w:pPr>
      <w:bookmarkStart w:id="36" w:name="chuong_5_name"/>
      <w:r>
        <w:rPr>
          <w:rFonts w:ascii="Arial" w:hAnsi="Arial"/>
          <w:b/>
          <w:sz w:val="24"/>
          <w:szCs w:val="20"/>
          <w:lang w:val="fr-FR"/>
        </w:rPr>
        <w:t>DANH MỤC HÀNG NGUY HIỂM VÀ VIỆC</w:t>
      </w:r>
      <w:r w:rsidR="001079E1">
        <w:rPr>
          <w:rFonts w:ascii="Arial" w:hAnsi="Arial"/>
          <w:b/>
          <w:sz w:val="24"/>
          <w:szCs w:val="20"/>
          <w:lang w:val="fr-FR"/>
        </w:rPr>
        <w:t xml:space="preserve"> </w:t>
      </w:r>
      <w:r>
        <w:rPr>
          <w:rFonts w:ascii="Arial" w:hAnsi="Arial"/>
          <w:b/>
          <w:sz w:val="24"/>
          <w:szCs w:val="20"/>
          <w:lang w:val="fr-FR"/>
        </w:rPr>
        <w:t>VẬN TẢI HÀNG NGUY HIỂM TRÊN ĐƯỜNG SẮT</w:t>
      </w:r>
    </w:p>
    <w:p w14:paraId="0D9C39F0" w14:textId="77777777" w:rsidR="00C9089E" w:rsidRPr="00717EBD" w:rsidRDefault="00B757F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37" w:name="muc_1"/>
      <w:bookmarkEnd w:id="36"/>
      <w:r w:rsidRPr="00717EBD">
        <w:rPr>
          <w:rFonts w:ascii="Arial" w:hAnsi="Arial"/>
          <w:b/>
          <w:sz w:val="20"/>
          <w:szCs w:val="20"/>
          <w:lang w:val="fr-FR"/>
        </w:rPr>
        <w:t>MỤC 1 : HÀNG NGUY HIỂM</w:t>
      </w:r>
    </w:p>
    <w:p w14:paraId="3D677000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8" w:name="dieu_23"/>
      <w:bookmarkEnd w:id="3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23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Phân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loại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38"/>
    <w:p w14:paraId="4440723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09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1, 2, 4, 5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6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chia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776B578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1: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C09361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1.1: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86E351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1.2: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6F716C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2: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032D52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2.1: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928C80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2.2: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C8ECCF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3: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lỏng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lỏng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D5959A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lastRenderedPageBreak/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4: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rắn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7D1FBC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4.1: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DB477B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4.2: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F6104A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4.3: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gặp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7FBCFA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5: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ô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25A563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5.1: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ô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EA980C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5.2: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ô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xit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hữu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7BEFAA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6: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nhiễm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4A2019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6.1: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624483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6.2: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nhiễm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8F4171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7: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726996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8: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ED812A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gramStart"/>
      <w:r w:rsidRPr="00B757FE">
        <w:rPr>
          <w:rFonts w:ascii="Arial" w:hAnsi="Arial"/>
          <w:sz w:val="20"/>
          <w:szCs w:val="20"/>
          <w:lang w:val="fr-FR"/>
        </w:rPr>
        <w:t>9: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24FA14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chưa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coi là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3E9EA45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39" w:name="dieu_24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24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mục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39"/>
    <w:p w14:paraId="0FCD20A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kèm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kèm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B695F8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mỗi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chữ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II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kèm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481DFB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sở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đề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="0049482D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="001079E1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040A6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57008A9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0" w:name="dieu_25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25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Đóng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gói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bao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bì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thùng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chứa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nhãn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biểu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trưng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và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báo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hiệu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40"/>
    <w:p w14:paraId="5608F01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thuộc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bắt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buộc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trước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Việt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Nam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FEEB09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Bao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bì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thùng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chứa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dán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Kích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thước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màu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sắc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pacing w:val="-6"/>
          <w:sz w:val="20"/>
          <w:szCs w:val="20"/>
          <w:lang w:val="fr-FR"/>
        </w:rPr>
        <w:t>điểm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1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Phụ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lục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III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kèm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2FA5B3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khẩu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khẩu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98A213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container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xi-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container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xi-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32881A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chữ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cam, ở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giữa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UN).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Kích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9482D" w:rsidRPr="00B757FE">
        <w:rPr>
          <w:rFonts w:ascii="Arial" w:hAnsi="Arial"/>
          <w:sz w:val="20"/>
          <w:szCs w:val="20"/>
          <w:lang w:val="fr-FR"/>
        </w:rPr>
        <w:t>điểm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III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kèm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ở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dưới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4030BF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6.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biểu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soát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3EE8E7E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1" w:name="dieu_26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26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xây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dựng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sửa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đổi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bổ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sung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định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về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</w:p>
    <w:bookmarkEnd w:id="41"/>
    <w:p w14:paraId="01DD657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đổi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ý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258A837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DE1272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lastRenderedPageBreak/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Y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lĩnh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y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lĩnh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1A8986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BEB83F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5320DF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C4FA7C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6.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6E39930" w14:textId="77777777" w:rsidR="00C9089E" w:rsidRPr="00717EBD" w:rsidRDefault="00C9089E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42" w:name="muc_2"/>
      <w:proofErr w:type="spellStart"/>
      <w:r w:rsidRPr="00717EBD">
        <w:rPr>
          <w:rFonts w:ascii="Arial" w:hAnsi="Arial"/>
          <w:b/>
          <w:sz w:val="20"/>
          <w:szCs w:val="20"/>
          <w:lang w:val="fr-FR"/>
        </w:rPr>
        <w:t>Mục</w:t>
      </w:r>
      <w:proofErr w:type="spellEnd"/>
      <w:r w:rsidRPr="00717EBD">
        <w:rPr>
          <w:rFonts w:ascii="Arial" w:hAnsi="Arial"/>
          <w:b/>
          <w:sz w:val="20"/>
          <w:szCs w:val="20"/>
          <w:lang w:val="fr-FR"/>
        </w:rPr>
        <w:t xml:space="preserve"> 2</w:t>
      </w:r>
      <w:r w:rsidR="00717EBD" w:rsidRPr="00717EBD">
        <w:rPr>
          <w:rFonts w:ascii="Arial" w:hAnsi="Arial"/>
          <w:b/>
          <w:sz w:val="20"/>
          <w:szCs w:val="20"/>
          <w:lang w:val="fr-FR"/>
        </w:rPr>
        <w:t xml:space="preserve"> : </w:t>
      </w:r>
      <w:r w:rsidRPr="00717EBD">
        <w:rPr>
          <w:rFonts w:ascii="Arial" w:hAnsi="Arial"/>
          <w:b/>
          <w:sz w:val="20"/>
          <w:szCs w:val="20"/>
          <w:lang w:val="fr-FR"/>
        </w:rPr>
        <w:t>VẬN TẢI HÀNG NGUY HIỂM</w:t>
      </w:r>
    </w:p>
    <w:p w14:paraId="4478ACDD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43" w:name="dieu_27"/>
      <w:bookmarkEnd w:id="42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27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định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chung</w:t>
      </w:r>
      <w:proofErr w:type="spellEnd"/>
    </w:p>
    <w:bookmarkEnd w:id="43"/>
    <w:p w14:paraId="648C7FB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Nam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D0D4D3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0B3336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259770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dồn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D390FA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đích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11A6305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4" w:name="dieu_28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28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trong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hợp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đặc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biệt</w:t>
      </w:r>
      <w:proofErr w:type="spellEnd"/>
    </w:p>
    <w:bookmarkEnd w:id="44"/>
    <w:p w14:paraId="7C55902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79872F9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yêu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bệnh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23A439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Nam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040FD69" w14:textId="77777777" w:rsidR="00C9089E" w:rsidRPr="00B757FE" w:rsidRDefault="002760B9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5" w:name="dieu_29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r w:rsidR="00BB4E2C" w:rsidRPr="00B757FE">
        <w:rPr>
          <w:rFonts w:ascii="Arial" w:hAnsi="Arial"/>
          <w:b/>
          <w:sz w:val="20"/>
          <w:szCs w:val="20"/>
          <w:lang w:val="fr-FR"/>
        </w:rPr>
        <w:t>29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người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tham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45"/>
    <w:p w14:paraId="7846660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</w:t>
      </w:r>
      <w:r w:rsidR="00D36B9C" w:rsidRPr="00B757FE">
        <w:rPr>
          <w:rFonts w:ascii="Arial" w:hAnsi="Arial"/>
          <w:sz w:val="20"/>
          <w:szCs w:val="20"/>
          <w:lang w:val="fr-FR"/>
        </w:rPr>
        <w:t>u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dồn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(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trưởng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="00D36B9C" w:rsidRPr="00B757FE">
        <w:rPr>
          <w:rFonts w:ascii="Arial" w:hAnsi="Arial"/>
          <w:sz w:val="20"/>
          <w:szCs w:val="20"/>
          <w:lang w:val="fr-FR"/>
        </w:rPr>
        <w:t>dồn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</w:t>
      </w:r>
      <w:r w:rsidR="00D36B9C" w:rsidRPr="00B757FE">
        <w:rPr>
          <w:rFonts w:ascii="Arial" w:hAnsi="Arial"/>
          <w:sz w:val="20"/>
          <w:szCs w:val="20"/>
          <w:lang w:val="fr-FR"/>
        </w:rPr>
        <w:t>n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ghép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nối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máy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toa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36B9C" w:rsidRPr="00B757FE">
        <w:rPr>
          <w:rFonts w:ascii="Arial" w:hAnsi="Arial"/>
          <w:sz w:val="20"/>
          <w:szCs w:val="20"/>
          <w:lang w:val="fr-FR"/>
        </w:rPr>
        <w:t>xe</w:t>
      </w:r>
      <w:proofErr w:type="spellEnd"/>
      <w:r w:rsidR="00D36B9C" w:rsidRPr="00B757FE">
        <w:rPr>
          <w:rFonts w:ascii="Arial" w:hAnsi="Arial"/>
          <w:sz w:val="20"/>
          <w:szCs w:val="20"/>
          <w:lang w:val="fr-FR"/>
        </w:rPr>
        <w:t>;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),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huấn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FC5264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huấn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95A8F39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6" w:name="dieu_30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30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Xếp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lưu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kho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46"/>
    <w:p w14:paraId="723522D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B87A27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E65D40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D6FDCB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một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xe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773F2B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633F95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2F1D07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ở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riêng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ở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riêng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1D7CFE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khỏi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giữ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F4FCD3A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7" w:name="dieu_31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lastRenderedPageBreak/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31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đối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với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phương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tiện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47"/>
    <w:p w14:paraId="0380EAA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B3387"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="00BB3387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03B71EE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3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xe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ứng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3293EA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</w:t>
      </w:r>
      <w:r w:rsidR="00BB3387" w:rsidRPr="00B757FE">
        <w:rPr>
          <w:rFonts w:ascii="Arial" w:hAnsi="Arial"/>
          <w:sz w:val="20"/>
          <w:szCs w:val="20"/>
          <w:lang w:val="fr-FR"/>
        </w:rPr>
        <w:t>heo</w:t>
      </w:r>
      <w:proofErr w:type="spellEnd"/>
      <w:r w:rsidR="00BB3387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B3387"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="00BB3387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055C2D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="00BB3387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51FBB91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8" w:name="dieu_32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32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người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trực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tiếp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liên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quan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đến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48"/>
    <w:p w14:paraId="5D6B9C3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gồm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dồn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455D46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năng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mình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pacing w:val="-2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6BC28A7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214724F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4162E07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gồm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tờ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0949236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55E0ADF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gramStart"/>
      <w:r w:rsidRPr="00B757FE">
        <w:rPr>
          <w:rFonts w:ascii="Arial" w:hAnsi="Arial"/>
          <w:sz w:val="20"/>
          <w:szCs w:val="20"/>
          <w:lang w:val="fr-FR"/>
        </w:rPr>
        <w:t>đ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) </w:t>
      </w:r>
      <w:r w:rsidR="004D50A8" w:rsidRPr="00B757FE">
        <w:rPr>
          <w:rFonts w:ascii="Arial" w:hAnsi="Arial"/>
          <w:sz w:val="20"/>
          <w:szCs w:val="20"/>
          <w:lang w:val="fr-FR"/>
        </w:rPr>
        <w:t xml:space="preserve">Khi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đe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dọa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khác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4D50A8" w:rsidRPr="00B757FE">
        <w:rPr>
          <w:rFonts w:ascii="Arial" w:hAnsi="Arial"/>
          <w:sz w:val="20"/>
          <w:szCs w:val="20"/>
          <w:lang w:val="fr-FR"/>
        </w:rPr>
        <w:t>k</w:t>
      </w:r>
      <w:r w:rsidRPr="00B757FE">
        <w:rPr>
          <w:rFonts w:ascii="Arial" w:hAnsi="Arial"/>
          <w:sz w:val="20"/>
          <w:szCs w:val="20"/>
          <w:lang w:val="fr-FR"/>
        </w:rPr>
        <w:t>hẩn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trương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biện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hạn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chế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trừ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khả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năng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gây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hại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biên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bản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cáo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gần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lý</w:t>
      </w:r>
      <w:proofErr w:type="spellEnd"/>
      <w:r w:rsidR="004D50A8" w:rsidRPr="00B757FE">
        <w:rPr>
          <w:rFonts w:ascii="Arial" w:hAnsi="Arial"/>
          <w:spacing w:val="-4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vượt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khả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năng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cáo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4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77DC9DF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49" w:name="dieu_33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33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người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thuê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49"/>
    <w:p w14:paraId="1FB6494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="001079E1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2F2502E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9ED2BE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tờ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khai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gửi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rõ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bao,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ABA7B3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yêu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4D50A8"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chậm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trễ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tin,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F1694B9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25179C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</w:t>
      </w:r>
      <w:r w:rsidR="001A4EEF" w:rsidRPr="00B757FE">
        <w:rPr>
          <w:rFonts w:ascii="Arial" w:hAnsi="Arial"/>
          <w:sz w:val="20"/>
          <w:szCs w:val="20"/>
          <w:lang w:val="fr-FR"/>
        </w:rPr>
        <w:t>g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A4EEF"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xảy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0545492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0" w:name="dieu_34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34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doanh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nghiệp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50"/>
    <w:p w14:paraId="1E3D5D4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Ngoài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33311AE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tờ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gói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DE1F82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0F9705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lastRenderedPageBreak/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ghi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C56BB5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65E431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Mua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93F8EB5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1" w:name="dieu_35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35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Ủy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ban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nhân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dân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địa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phương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khi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xảy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ra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sự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cố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trong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51"/>
    <w:p w14:paraId="4652A40C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xảy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đây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6B6C489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4296F5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)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khỏi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xảy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4A2511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khỏi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ô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nhiễm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đồng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hỏa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="001A4EEF" w:rsidRPr="00B757FE">
        <w:rPr>
          <w:rFonts w:ascii="Arial" w:hAnsi="Arial"/>
          <w:sz w:val="20"/>
          <w:szCs w:val="20"/>
          <w:lang w:val="fr-FR"/>
        </w:rPr>
        <w:t>,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khắc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hậu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20D1D45" w14:textId="77777777" w:rsidR="00C9089E" w:rsidRPr="00B757FE" w:rsidRDefault="00C9089E" w:rsidP="00717EBD">
      <w:pPr>
        <w:spacing w:after="120"/>
        <w:rPr>
          <w:rFonts w:ascii="Arial" w:hAnsi="Arial"/>
          <w:spacing w:val="-6"/>
          <w:sz w:val="20"/>
          <w:szCs w:val="20"/>
          <w:lang w:val="fr-FR"/>
        </w:rPr>
      </w:pPr>
      <w:r w:rsidRPr="00B757FE">
        <w:rPr>
          <w:rFonts w:ascii="Arial" w:hAnsi="Arial"/>
          <w:spacing w:val="-6"/>
          <w:sz w:val="20"/>
          <w:szCs w:val="20"/>
          <w:lang w:val="fr-FR"/>
        </w:rPr>
        <w:t>4.</w:t>
      </w:r>
      <w:r w:rsidR="00D4245A"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chức</w:t>
      </w:r>
      <w:proofErr w:type="spellEnd"/>
      <w:r w:rsidR="001A4EEF" w:rsidRPr="00B757FE">
        <w:rPr>
          <w:rFonts w:ascii="Arial" w:hAnsi="Arial"/>
          <w:spacing w:val="-6"/>
          <w:sz w:val="20"/>
          <w:szCs w:val="20"/>
          <w:lang w:val="fr-FR"/>
        </w:rPr>
        <w:t>,</w:t>
      </w:r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bố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trí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lực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tục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tác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tra,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hậu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6"/>
          <w:sz w:val="20"/>
          <w:szCs w:val="20"/>
          <w:lang w:val="fr-FR"/>
        </w:rPr>
        <w:t>quả</w:t>
      </w:r>
      <w:proofErr w:type="spellEnd"/>
      <w:r w:rsidRPr="00B757FE">
        <w:rPr>
          <w:rFonts w:ascii="Arial" w:hAnsi="Arial"/>
          <w:spacing w:val="-6"/>
          <w:sz w:val="20"/>
          <w:szCs w:val="20"/>
          <w:lang w:val="fr-FR"/>
        </w:rPr>
        <w:t>.</w:t>
      </w:r>
    </w:p>
    <w:p w14:paraId="5C28B1F6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2" w:name="dieu_36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36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Thẩm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quyền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cấp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giấy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phép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đối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với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52"/>
    <w:p w14:paraId="204018AA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cứ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kèm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buộc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</w:t>
      </w:r>
      <w:r w:rsidR="00D4245A" w:rsidRPr="00B757FE">
        <w:rPr>
          <w:rFonts w:ascii="Arial" w:hAnsi="Arial"/>
          <w:sz w:val="20"/>
          <w:szCs w:val="20"/>
          <w:lang w:val="fr-FR"/>
        </w:rPr>
        <w:t>ới</w:t>
      </w:r>
      <w:proofErr w:type="spellEnd"/>
      <w:r w:rsidR="00D4245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4245A"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="00D4245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4245A"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="00D4245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4245A"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="00D4245A"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="00D4245A"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="00D4245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4245A"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D4245A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4245A"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5FEF39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sau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30D4E7A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thuộc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75669" w:rsidRPr="00B757FE">
        <w:rPr>
          <w:rFonts w:ascii="Arial" w:hAnsi="Arial"/>
          <w:spacing w:val="-2"/>
          <w:sz w:val="20"/>
          <w:szCs w:val="20"/>
          <w:lang w:val="fr-FR"/>
        </w:rPr>
        <w:t>các</w:t>
      </w:r>
      <w:proofErr w:type="spellEnd"/>
      <w:r w:rsidR="00175669"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="00175669" w:rsidRPr="00B757FE">
        <w:rPr>
          <w:rFonts w:ascii="Arial" w:hAnsi="Arial"/>
          <w:spacing w:val="-2"/>
          <w:sz w:val="20"/>
          <w:szCs w:val="20"/>
          <w:lang w:val="fr-FR"/>
        </w:rPr>
        <w:t>loại</w:t>
      </w:r>
      <w:proofErr w:type="spellEnd"/>
      <w:r w:rsidR="00175669" w:rsidRPr="00B757FE">
        <w:rPr>
          <w:rFonts w:ascii="Arial" w:hAnsi="Arial"/>
          <w:spacing w:val="-2"/>
          <w:sz w:val="20"/>
          <w:szCs w:val="20"/>
          <w:lang w:val="fr-FR"/>
        </w:rPr>
        <w:t xml:space="preserve"> 1, </w:t>
      </w:r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2, 3, 4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9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1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2</w:t>
      </w:r>
      <w:r w:rsidR="00112491" w:rsidRPr="00B757FE">
        <w:rPr>
          <w:rFonts w:ascii="Arial" w:hAnsi="Arial"/>
          <w:spacing w:val="-2"/>
          <w:sz w:val="20"/>
          <w:szCs w:val="20"/>
          <w:lang w:val="fr-FR"/>
        </w:rPr>
        <w:t>3</w:t>
      </w:r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pacing w:val="-2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pacing w:val="-2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pacing w:val="-2"/>
          <w:sz w:val="20"/>
          <w:szCs w:val="20"/>
          <w:lang w:val="fr-FR"/>
        </w:rPr>
        <w:t>;</w:t>
      </w:r>
      <w:proofErr w:type="gramEnd"/>
    </w:p>
    <w:p w14:paraId="72C73FF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175669"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="00175669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5, 7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r w:rsidR="00175669" w:rsidRPr="00B757FE">
        <w:rPr>
          <w:rFonts w:ascii="Arial" w:hAnsi="Arial"/>
          <w:sz w:val="20"/>
          <w:szCs w:val="20"/>
          <w:lang w:val="fr-FR"/>
        </w:rPr>
        <w:t xml:space="preserve">8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1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</w:t>
      </w:r>
      <w:r w:rsidR="00112491" w:rsidRPr="00B757FE">
        <w:rPr>
          <w:rFonts w:ascii="Arial" w:hAnsi="Arial"/>
          <w:sz w:val="20"/>
          <w:szCs w:val="20"/>
          <w:lang w:val="fr-FR"/>
        </w:rPr>
        <w:t>3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60EEBCB4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Y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lĩnh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y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dùng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lĩnh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dụng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41CA1F8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triển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vật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02286B9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gramStart"/>
      <w:r w:rsidRPr="00B757FE">
        <w:rPr>
          <w:rFonts w:ascii="Arial" w:hAnsi="Arial"/>
          <w:sz w:val="20"/>
          <w:szCs w:val="20"/>
          <w:lang w:val="fr-FR"/>
        </w:rPr>
        <w:t>đ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còn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3B448C2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3" w:name="dieu_3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37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Giấy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phép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đối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với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53"/>
    <w:p w14:paraId="1658309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3</w:t>
      </w:r>
      <w:r w:rsidR="00112491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04BFF5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yếu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bao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gồm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:</w:t>
      </w:r>
      <w:proofErr w:type="gramEnd"/>
    </w:p>
    <w:p w14:paraId="0E8FB68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người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3A5B020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nhóm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506AD43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2D5B0E0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d)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Lịch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</w:p>
    <w:p w14:paraId="19350AA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gramStart"/>
      <w:r w:rsidRPr="00B757FE">
        <w:rPr>
          <w:rFonts w:ascii="Arial" w:hAnsi="Arial"/>
          <w:sz w:val="20"/>
          <w:szCs w:val="20"/>
          <w:lang w:val="fr-FR"/>
        </w:rPr>
        <w:t>đ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)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ý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(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nếu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).</w:t>
      </w:r>
    </w:p>
    <w:p w14:paraId="22E6EE7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3</w:t>
      </w:r>
      <w:r w:rsidR="00112491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hồ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Mẫu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057AC8B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từng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lô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E830B65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4" w:name="dieu_38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38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Đăng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ký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toa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xe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chuyển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và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xếp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,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hàng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hiểm</w:t>
      </w:r>
      <w:proofErr w:type="spellEnd"/>
    </w:p>
    <w:bookmarkEnd w:id="54"/>
    <w:p w14:paraId="5458CC5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lastRenderedPageBreak/>
        <w:t>Doanh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nghiệp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3F23F1"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loại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xe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khoản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2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3</w:t>
      </w:r>
      <w:r w:rsidR="00112491" w:rsidRPr="00B757FE">
        <w:rPr>
          <w:rFonts w:ascii="Arial" w:hAnsi="Arial"/>
          <w:sz w:val="20"/>
          <w:szCs w:val="20"/>
          <w:lang w:val="fr-FR"/>
        </w:rPr>
        <w:t>6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này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DA3738D" w14:textId="77777777" w:rsidR="00C9089E" w:rsidRPr="00B757FE" w:rsidRDefault="00717EBD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55" w:name="chuong_6"/>
      <w:proofErr w:type="spellStart"/>
      <w:r>
        <w:rPr>
          <w:rFonts w:ascii="Arial" w:hAnsi="Arial"/>
          <w:b/>
          <w:sz w:val="20"/>
          <w:szCs w:val="20"/>
          <w:lang w:val="fr-FR"/>
        </w:rPr>
        <w:t>Chương</w:t>
      </w:r>
      <w:proofErr w:type="spellEnd"/>
      <w:r>
        <w:rPr>
          <w:rFonts w:ascii="Arial" w:hAnsi="Arial"/>
          <w:b/>
          <w:sz w:val="20"/>
          <w:szCs w:val="20"/>
          <w:lang w:val="fr-FR"/>
        </w:rPr>
        <w:t xml:space="preserve"> 6 </w:t>
      </w:r>
      <w:bookmarkEnd w:id="55"/>
      <w:r>
        <w:rPr>
          <w:rFonts w:ascii="Arial" w:hAnsi="Arial"/>
          <w:b/>
          <w:sz w:val="20"/>
          <w:szCs w:val="20"/>
          <w:lang w:val="fr-FR"/>
        </w:rPr>
        <w:t>:</w:t>
      </w:r>
    </w:p>
    <w:p w14:paraId="3294DB8A" w14:textId="77777777" w:rsidR="00C9089E" w:rsidRPr="00717EBD" w:rsidRDefault="00717EBD" w:rsidP="00717EBD">
      <w:pPr>
        <w:spacing w:after="120"/>
        <w:jc w:val="center"/>
        <w:rPr>
          <w:rFonts w:ascii="Arial" w:hAnsi="Arial"/>
          <w:b/>
          <w:sz w:val="24"/>
          <w:szCs w:val="20"/>
          <w:lang w:val="fr-FR"/>
        </w:rPr>
      </w:pPr>
      <w:bookmarkStart w:id="56" w:name="chuong_6_name"/>
      <w:r>
        <w:rPr>
          <w:rFonts w:ascii="Arial" w:hAnsi="Arial"/>
          <w:b/>
          <w:sz w:val="24"/>
          <w:szCs w:val="20"/>
          <w:lang w:val="fr-FR"/>
        </w:rPr>
        <w:t>TRÁCH NHIỆM CỦA CÁC BỘ, NGÀNH VÀ</w:t>
      </w:r>
      <w:r w:rsidR="001079E1">
        <w:rPr>
          <w:rFonts w:ascii="Arial" w:hAnsi="Arial"/>
          <w:b/>
          <w:sz w:val="24"/>
          <w:szCs w:val="20"/>
          <w:lang w:val="fr-FR"/>
        </w:rPr>
        <w:t xml:space="preserve"> </w:t>
      </w:r>
      <w:r>
        <w:rPr>
          <w:rFonts w:ascii="Arial" w:hAnsi="Arial"/>
          <w:b/>
          <w:sz w:val="24"/>
          <w:szCs w:val="20"/>
          <w:lang w:val="fr-FR"/>
        </w:rPr>
        <w:t>ỦY BAN NHÂN DÂN CẤP TỈNH VỀ BẢO ĐẢM TRẬT TỰ, AN TOÀN GIAO THÔNG VẬN TẢI ĐƯỜNG SẮT</w:t>
      </w:r>
    </w:p>
    <w:p w14:paraId="13B70597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7" w:name="dieu_39"/>
      <w:bookmarkEnd w:id="56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39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Giao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vận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tải</w:t>
      </w:r>
      <w:proofErr w:type="spellEnd"/>
    </w:p>
    <w:bookmarkEnd w:id="57"/>
    <w:p w14:paraId="6F5E3E2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lĩnh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nhằm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suốt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D8274B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tiêu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chuẩn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đóng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sửa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chữa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đăng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0C5877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chạy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đào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4EBF14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thanh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64985" w:rsidRPr="00B757FE">
        <w:rPr>
          <w:rFonts w:ascii="Arial" w:hAnsi="Arial"/>
          <w:sz w:val="20"/>
          <w:szCs w:val="20"/>
          <w:lang w:val="fr-FR"/>
        </w:rPr>
        <w:t>phạt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thẩm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D82453"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A92DD1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="00D82453" w:rsidRPr="00B757FE">
        <w:rPr>
          <w:rFonts w:ascii="Arial" w:hAnsi="Arial"/>
          <w:sz w:val="20"/>
          <w:szCs w:val="20"/>
          <w:lang w:val="fr-FR"/>
        </w:rPr>
        <w:t>,</w:t>
      </w:r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khắc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hậu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cố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F39C2E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6.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dõi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nghiêm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trọng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nghiêm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trọng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hữu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nhằm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5F8080A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8" w:name="dieu_40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40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an</w:t>
      </w:r>
    </w:p>
    <w:bookmarkEnd w:id="58"/>
    <w:p w14:paraId="275950D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87ED61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Kiểm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tra,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40EE" w:rsidRPr="00B757FE">
        <w:rPr>
          <w:rFonts w:ascii="Arial" w:hAnsi="Arial"/>
          <w:sz w:val="20"/>
          <w:szCs w:val="20"/>
          <w:lang w:val="fr-FR"/>
        </w:rPr>
        <w:t>phạt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24E9157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tra,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F040EE" w:rsidRPr="00B757FE">
        <w:rPr>
          <w:rFonts w:ascii="Arial" w:hAnsi="Arial"/>
          <w:sz w:val="20"/>
          <w:szCs w:val="20"/>
          <w:lang w:val="fr-FR"/>
        </w:rPr>
        <w:t>phạt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thống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kê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dõi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tích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vụ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dữ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liệu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CE9448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4.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phòng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ngừa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khắc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ra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BF6E82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5.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sát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-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923EB8"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="00923EB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923EB8"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923EB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chở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0A3401D9" w14:textId="77777777" w:rsidR="00C9089E" w:rsidRPr="00B757FE" w:rsidRDefault="00BB4E2C" w:rsidP="00717EBD">
      <w:pPr>
        <w:spacing w:after="120"/>
        <w:rPr>
          <w:rFonts w:ascii="Arial" w:hAnsi="Arial"/>
          <w:sz w:val="20"/>
          <w:szCs w:val="20"/>
          <w:lang w:val="fr-FR"/>
        </w:rPr>
      </w:pPr>
      <w:bookmarkStart w:id="59" w:name="dieu_41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41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Tài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chính</w:t>
      </w:r>
      <w:proofErr w:type="spellEnd"/>
    </w:p>
    <w:bookmarkEnd w:id="59"/>
    <w:p w14:paraId="08379CBB" w14:textId="77777777" w:rsidR="00112491" w:rsidRPr="00B757FE" w:rsidRDefault="00112491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lý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tầng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quốc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nước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đầu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8845C91" w14:textId="77777777" w:rsidR="00C9089E" w:rsidRPr="00B757FE" w:rsidRDefault="00112491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kinh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phí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tác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theo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mức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Thủ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tướng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phủ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phê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duyệt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sở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đề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nghị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BF73FB"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="00BF73FB" w:rsidRPr="00B757FE">
        <w:rPr>
          <w:rFonts w:ascii="Arial" w:hAnsi="Arial"/>
          <w:sz w:val="20"/>
          <w:szCs w:val="20"/>
          <w:lang w:val="fr-FR"/>
        </w:rPr>
        <w:t xml:space="preserve"> an</w:t>
      </w:r>
      <w:r w:rsidR="00C9089E" w:rsidRPr="00B757FE">
        <w:rPr>
          <w:rFonts w:ascii="Arial" w:hAnsi="Arial"/>
          <w:sz w:val="20"/>
          <w:szCs w:val="20"/>
          <w:lang w:val="fr-FR"/>
        </w:rPr>
        <w:t>.</w:t>
      </w:r>
    </w:p>
    <w:p w14:paraId="68E00E13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0" w:name="dieu_42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42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Quốc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phòng</w:t>
      </w:r>
      <w:proofErr w:type="spellEnd"/>
    </w:p>
    <w:bookmarkEnd w:id="60"/>
    <w:p w14:paraId="7688E23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lượng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nghiêm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923EB8"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="00923EB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923EB8"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="00923EB8"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trong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tài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C5B46B9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1" w:name="dieu_43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43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Văn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hóa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-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tin</w:t>
      </w:r>
    </w:p>
    <w:bookmarkEnd w:id="61"/>
    <w:p w14:paraId="54B5130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rãi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41A7DC1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hóa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tin,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động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nghiêm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FB260E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lastRenderedPageBreak/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Hướng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dẫn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giấy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làm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93D3B63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2" w:name="dieu_44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44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Bộ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Giáo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dục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và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Đào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tạo</w:t>
      </w:r>
      <w:proofErr w:type="spellEnd"/>
    </w:p>
    <w:bookmarkEnd w:id="62"/>
    <w:p w14:paraId="1D1C3642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Chủ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chọn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những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nội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dung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đảm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sinh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phù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học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5E5A4E07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3" w:name="dieu_45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45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280053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280053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Ủy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ban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nhân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dân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cấp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tỉnh</w:t>
      </w:r>
      <w:proofErr w:type="spellEnd"/>
    </w:p>
    <w:bookmarkEnd w:id="63"/>
    <w:p w14:paraId="49704A65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thực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;</w:t>
      </w:r>
      <w:proofErr w:type="gram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mọi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cần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để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kỷ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huyện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chịu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nhiệm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vệ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73E2D51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chức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việc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tỏa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phép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phạm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6015A95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r w:rsidRPr="00B757FE">
        <w:rPr>
          <w:rFonts w:ascii="Arial" w:hAnsi="Arial"/>
          <w:sz w:val="20"/>
          <w:szCs w:val="20"/>
          <w:lang w:val="fr-FR"/>
        </w:rPr>
        <w:t xml:space="preserve">3.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Chỉ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dưới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bị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hỏng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do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nạn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thiên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tai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phối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hợp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ngành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kịp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thời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quyết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hậu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quả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khôi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A0F8F6F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4" w:name="dieu_46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46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các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cơ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quan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tin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đại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chúng</w:t>
      </w:r>
      <w:proofErr w:type="spellEnd"/>
    </w:p>
    <w:bookmarkEnd w:id="64"/>
    <w:p w14:paraId="01FE5AB6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tin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đại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chúng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ở Trung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địa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kế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chương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mục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tuyên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truyền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phổ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biến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pháp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luật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về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trật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15EAB33D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5" w:name="dieu_4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47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Lập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hoạch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xây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dựng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mới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hoặc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tạo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có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ảnh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hưởng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đến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an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toàn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của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các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65"/>
    <w:p w14:paraId="67EAEAB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  <w:lang w:val="fr-FR"/>
        </w:rPr>
      </w:pPr>
      <w:proofErr w:type="spellStart"/>
      <w:r w:rsidRPr="00B757FE">
        <w:rPr>
          <w:rFonts w:ascii="Arial" w:hAnsi="Arial"/>
          <w:sz w:val="20"/>
          <w:szCs w:val="20"/>
          <w:lang w:val="fr-FR"/>
        </w:rPr>
        <w:t>Các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ngang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cơ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quan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thuộc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Chính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phủ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và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Ủy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dân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cấp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tỉnh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khi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lập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quy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hoạch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xây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dựng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mới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hoặc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tạo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có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ảnh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hưởng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đến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toàn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trình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đường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sắt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phải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được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sự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nhất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trí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bằng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văn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bản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của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Bộ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Giao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thông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vận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  <w:lang w:val="fr-FR"/>
        </w:rPr>
        <w:t>tải</w:t>
      </w:r>
      <w:proofErr w:type="spellEnd"/>
      <w:r w:rsidRPr="00B757FE">
        <w:rPr>
          <w:rFonts w:ascii="Arial" w:hAnsi="Arial"/>
          <w:sz w:val="20"/>
          <w:szCs w:val="20"/>
          <w:lang w:val="fr-FR"/>
        </w:rPr>
        <w:t>.</w:t>
      </w:r>
    </w:p>
    <w:p w14:paraId="3A3AC712" w14:textId="77777777" w:rsidR="00C9089E" w:rsidRPr="00B757FE" w:rsidRDefault="0097430D" w:rsidP="0097430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6" w:name="chuong_7"/>
      <w:proofErr w:type="spellStart"/>
      <w:r>
        <w:rPr>
          <w:rFonts w:ascii="Arial" w:hAnsi="Arial"/>
          <w:b/>
          <w:sz w:val="20"/>
          <w:szCs w:val="20"/>
          <w:lang w:val="fr-FR"/>
        </w:rPr>
        <w:t>Chương</w:t>
      </w:r>
      <w:proofErr w:type="spellEnd"/>
      <w:r>
        <w:rPr>
          <w:rFonts w:ascii="Arial" w:hAnsi="Arial"/>
          <w:b/>
          <w:sz w:val="20"/>
          <w:szCs w:val="20"/>
          <w:lang w:val="fr-FR"/>
        </w:rPr>
        <w:t xml:space="preserve"> 7</w:t>
      </w:r>
    </w:p>
    <w:p w14:paraId="7BF3C28B" w14:textId="77777777" w:rsidR="00C9089E" w:rsidRPr="0097430D" w:rsidRDefault="00C9089E" w:rsidP="00717EBD">
      <w:pPr>
        <w:spacing w:after="120"/>
        <w:jc w:val="center"/>
        <w:rPr>
          <w:rFonts w:ascii="Arial" w:hAnsi="Arial"/>
          <w:b/>
          <w:sz w:val="24"/>
          <w:szCs w:val="20"/>
          <w:lang w:val="fr-FR"/>
        </w:rPr>
      </w:pPr>
      <w:bookmarkStart w:id="67" w:name="chuong_7_name"/>
      <w:bookmarkEnd w:id="66"/>
      <w:r w:rsidRPr="0097430D">
        <w:rPr>
          <w:rFonts w:ascii="Arial" w:hAnsi="Arial"/>
          <w:b/>
          <w:sz w:val="24"/>
          <w:szCs w:val="20"/>
          <w:lang w:val="fr-FR"/>
        </w:rPr>
        <w:t>ĐIỀU KHOẢN THI HÀNH</w:t>
      </w:r>
    </w:p>
    <w:p w14:paraId="517B59DD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  <w:lang w:val="fr-FR"/>
        </w:rPr>
      </w:pPr>
      <w:bookmarkStart w:id="68" w:name="dieu_48"/>
      <w:bookmarkEnd w:id="67"/>
      <w:proofErr w:type="spellStart"/>
      <w:r w:rsidRPr="00B757FE">
        <w:rPr>
          <w:rFonts w:ascii="Arial" w:hAnsi="Arial"/>
          <w:b/>
          <w:sz w:val="20"/>
          <w:szCs w:val="20"/>
          <w:lang w:val="fr-FR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  <w:lang w:val="fr-FR"/>
        </w:rPr>
        <w:t xml:space="preserve"> 48</w:t>
      </w:r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Xác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định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mốc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thời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gian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và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nguyên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tắc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giải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quyết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công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trình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tồn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tại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trong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phạm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vi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đất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dành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cho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đường</w:t>
      </w:r>
      <w:proofErr w:type="spellEnd"/>
      <w:r w:rsidR="00C9089E" w:rsidRPr="00B757FE">
        <w:rPr>
          <w:rFonts w:ascii="Arial" w:hAnsi="Arial"/>
          <w:b/>
          <w:sz w:val="20"/>
          <w:szCs w:val="20"/>
          <w:lang w:val="fr-FR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  <w:lang w:val="fr-FR"/>
        </w:rPr>
        <w:t>sắt</w:t>
      </w:r>
      <w:proofErr w:type="spellEnd"/>
    </w:p>
    <w:bookmarkEnd w:id="68"/>
    <w:p w14:paraId="0433476F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1. </w:t>
      </w:r>
      <w:proofErr w:type="spellStart"/>
      <w:r w:rsidRPr="00B757FE">
        <w:rPr>
          <w:rFonts w:ascii="Arial" w:hAnsi="Arial"/>
          <w:sz w:val="20"/>
          <w:szCs w:val="20"/>
        </w:rPr>
        <w:t>Xác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mốc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thời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gian</w:t>
      </w:r>
      <w:proofErr w:type="spellEnd"/>
      <w:r w:rsidRPr="00B757FE">
        <w:rPr>
          <w:rFonts w:ascii="Arial" w:hAnsi="Arial"/>
          <w:sz w:val="20"/>
          <w:szCs w:val="20"/>
        </w:rPr>
        <w:t>:</w:t>
      </w:r>
    </w:p>
    <w:p w14:paraId="3E48202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tồn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tại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phạm</w:t>
      </w:r>
      <w:proofErr w:type="spellEnd"/>
      <w:r w:rsidRPr="00B757FE">
        <w:rPr>
          <w:rFonts w:ascii="Arial" w:hAnsi="Arial"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280053" w:rsidRPr="00B757FE">
        <w:rPr>
          <w:rFonts w:ascii="Arial" w:hAnsi="Arial"/>
          <w:sz w:val="20"/>
          <w:szCs w:val="20"/>
        </w:rPr>
        <w:t>trước</w:t>
      </w:r>
      <w:proofErr w:type="spellEnd"/>
      <w:r w:rsidR="00280053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280053" w:rsidRPr="00B757FE">
        <w:rPr>
          <w:rFonts w:ascii="Arial" w:hAnsi="Arial"/>
          <w:sz w:val="20"/>
          <w:szCs w:val="20"/>
        </w:rPr>
        <w:t>ngày</w:t>
      </w:r>
      <w:proofErr w:type="spellEnd"/>
      <w:r w:rsidR="00280053" w:rsidRPr="00B757FE">
        <w:rPr>
          <w:rFonts w:ascii="Arial" w:hAnsi="Arial"/>
          <w:sz w:val="20"/>
          <w:szCs w:val="20"/>
        </w:rPr>
        <w:t xml:space="preserve"> 01 </w:t>
      </w:r>
      <w:proofErr w:type="spellStart"/>
      <w:r w:rsidR="00280053" w:rsidRPr="00B757FE">
        <w:rPr>
          <w:rFonts w:ascii="Arial" w:hAnsi="Arial"/>
          <w:sz w:val="20"/>
          <w:szCs w:val="20"/>
        </w:rPr>
        <w:t>tháng</w:t>
      </w:r>
      <w:proofErr w:type="spellEnd"/>
      <w:r w:rsidR="00280053" w:rsidRPr="00B757FE">
        <w:rPr>
          <w:rFonts w:ascii="Arial" w:hAnsi="Arial"/>
          <w:sz w:val="20"/>
          <w:szCs w:val="20"/>
        </w:rPr>
        <w:t xml:space="preserve"> 9 </w:t>
      </w:r>
      <w:proofErr w:type="spellStart"/>
      <w:r w:rsidR="00280053" w:rsidRPr="00B757FE">
        <w:rPr>
          <w:rFonts w:ascii="Arial" w:hAnsi="Arial"/>
          <w:sz w:val="20"/>
          <w:szCs w:val="20"/>
        </w:rPr>
        <w:t>năm</w:t>
      </w:r>
      <w:proofErr w:type="spellEnd"/>
      <w:r w:rsidR="00280053" w:rsidRPr="00B757FE">
        <w:rPr>
          <w:rFonts w:ascii="Arial" w:hAnsi="Arial"/>
          <w:sz w:val="20"/>
          <w:szCs w:val="20"/>
        </w:rPr>
        <w:t xml:space="preserve"> 1996, </w:t>
      </w:r>
      <w:proofErr w:type="spellStart"/>
      <w:r w:rsidRPr="00B757FE">
        <w:rPr>
          <w:rFonts w:ascii="Arial" w:hAnsi="Arial"/>
          <w:sz w:val="20"/>
          <w:szCs w:val="20"/>
        </w:rPr>
        <w:t>giải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theo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280053"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số</w:t>
      </w:r>
      <w:proofErr w:type="spellEnd"/>
      <w:r w:rsidRPr="00B757FE">
        <w:rPr>
          <w:rFonts w:ascii="Arial" w:hAnsi="Arial"/>
          <w:sz w:val="20"/>
          <w:szCs w:val="20"/>
        </w:rPr>
        <w:t xml:space="preserve"> 120/CP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12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8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1963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Hội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đồng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</w:rPr>
        <w:t>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Điều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lệ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phạm</w:t>
      </w:r>
      <w:proofErr w:type="spellEnd"/>
      <w:r w:rsidRPr="00B757FE">
        <w:rPr>
          <w:rFonts w:ascii="Arial" w:hAnsi="Arial"/>
          <w:sz w:val="20"/>
          <w:szCs w:val="20"/>
        </w:rPr>
        <w:t xml:space="preserve"> vi, </w:t>
      </w:r>
      <w:proofErr w:type="spellStart"/>
      <w:r w:rsidRPr="00B757FE">
        <w:rPr>
          <w:rFonts w:ascii="Arial" w:hAnsi="Arial"/>
          <w:sz w:val="20"/>
          <w:szCs w:val="20"/>
        </w:rPr>
        <w:t>giới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tự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gramStart"/>
      <w:r w:rsidRPr="00B757FE">
        <w:rPr>
          <w:rFonts w:ascii="Arial" w:hAnsi="Arial"/>
          <w:sz w:val="20"/>
          <w:szCs w:val="20"/>
        </w:rPr>
        <w:t>an</w:t>
      </w:r>
      <w:proofErr w:type="gram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;</w:t>
      </w:r>
    </w:p>
    <w:p w14:paraId="70054B4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tồn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tại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phạm</w:t>
      </w:r>
      <w:proofErr w:type="spellEnd"/>
      <w:r w:rsidRPr="00B757FE">
        <w:rPr>
          <w:rFonts w:ascii="Arial" w:hAnsi="Arial"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từ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9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1996 </w:t>
      </w:r>
      <w:proofErr w:type="spellStart"/>
      <w:r w:rsidRPr="00B757FE">
        <w:rPr>
          <w:rFonts w:ascii="Arial" w:hAnsi="Arial"/>
          <w:sz w:val="20"/>
          <w:szCs w:val="20"/>
        </w:rPr>
        <w:t>đến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31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12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2005, </w:t>
      </w:r>
      <w:proofErr w:type="spellStart"/>
      <w:r w:rsidRPr="00B757FE">
        <w:rPr>
          <w:rFonts w:ascii="Arial" w:hAnsi="Arial"/>
          <w:sz w:val="20"/>
          <w:szCs w:val="20"/>
        </w:rPr>
        <w:t>giải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theo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7B788D"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số</w:t>
      </w:r>
      <w:proofErr w:type="spellEnd"/>
      <w:r w:rsidRPr="00B757FE">
        <w:rPr>
          <w:rFonts w:ascii="Arial" w:hAnsi="Arial"/>
          <w:sz w:val="20"/>
          <w:szCs w:val="20"/>
        </w:rPr>
        <w:t xml:space="preserve"> 39/CP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05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7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1996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về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đảm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tự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gramStart"/>
      <w:r w:rsidRPr="00B757FE">
        <w:rPr>
          <w:rFonts w:ascii="Arial" w:hAnsi="Arial"/>
          <w:sz w:val="20"/>
          <w:szCs w:val="20"/>
        </w:rPr>
        <w:t>an</w:t>
      </w:r>
      <w:proofErr w:type="gram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;</w:t>
      </w:r>
    </w:p>
    <w:p w14:paraId="1626EDD1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tồn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tại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trong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phạm</w:t>
      </w:r>
      <w:proofErr w:type="spellEnd"/>
      <w:r w:rsidRPr="00B757FE">
        <w:rPr>
          <w:rFonts w:ascii="Arial" w:hAnsi="Arial"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</w:rPr>
        <w:t>đất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từ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01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2006 </w:t>
      </w:r>
      <w:proofErr w:type="spellStart"/>
      <w:r w:rsidRPr="00B757FE">
        <w:rPr>
          <w:rFonts w:ascii="Arial" w:hAnsi="Arial"/>
          <w:sz w:val="20"/>
          <w:szCs w:val="20"/>
        </w:rPr>
        <w:t>trở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đi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giải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theo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Luật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6E7E35C7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2. </w:t>
      </w:r>
      <w:proofErr w:type="spellStart"/>
      <w:r w:rsidRPr="00B757FE">
        <w:rPr>
          <w:rFonts w:ascii="Arial" w:hAnsi="Arial"/>
          <w:sz w:val="20"/>
          <w:szCs w:val="20"/>
        </w:rPr>
        <w:t>Nguyên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tắc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quyết</w:t>
      </w:r>
      <w:proofErr w:type="spellEnd"/>
      <w:r w:rsidRPr="00B757FE">
        <w:rPr>
          <w:rFonts w:ascii="Arial" w:hAnsi="Arial"/>
          <w:sz w:val="20"/>
          <w:szCs w:val="20"/>
        </w:rPr>
        <w:t>:</w:t>
      </w:r>
    </w:p>
    <w:p w14:paraId="7AE1FEBD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a) </w:t>
      </w:r>
      <w:proofErr w:type="spellStart"/>
      <w:r w:rsidRPr="00B757FE">
        <w:rPr>
          <w:rFonts w:ascii="Arial" w:hAnsi="Arial"/>
          <w:sz w:val="20"/>
          <w:szCs w:val="20"/>
        </w:rPr>
        <w:t>Dỡ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bỏ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ngay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gây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đến</w:t>
      </w:r>
      <w:proofErr w:type="spellEnd"/>
      <w:r w:rsidRPr="00B757FE">
        <w:rPr>
          <w:rFonts w:ascii="Arial" w:hAnsi="Arial"/>
          <w:sz w:val="20"/>
          <w:szCs w:val="20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gramStart"/>
      <w:r w:rsidRPr="00B757FE">
        <w:rPr>
          <w:rFonts w:ascii="Arial" w:hAnsi="Arial"/>
          <w:sz w:val="20"/>
          <w:szCs w:val="20"/>
        </w:rPr>
        <w:t>an</w:t>
      </w:r>
      <w:proofErr w:type="gram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>;</w:t>
      </w:r>
    </w:p>
    <w:p w14:paraId="4AF684C8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b) </w:t>
      </w:r>
      <w:proofErr w:type="spellStart"/>
      <w:r w:rsidRPr="00B757FE">
        <w:rPr>
          <w:rFonts w:ascii="Arial" w:hAnsi="Arial"/>
          <w:sz w:val="20"/>
          <w:szCs w:val="20"/>
        </w:rPr>
        <w:t>Những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xét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thấy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chưa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ảnh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hưởng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tiếp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đến</w:t>
      </w:r>
      <w:proofErr w:type="spellEnd"/>
      <w:r w:rsidRPr="00B757FE">
        <w:rPr>
          <w:rFonts w:ascii="Arial" w:hAnsi="Arial"/>
          <w:sz w:val="20"/>
          <w:szCs w:val="20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, an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vận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thì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tạm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thời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phép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giữ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nguyên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trạng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nhưng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phải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cam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với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quyền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phương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doanh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nghiệp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kinh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doanh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kết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cấu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tầng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cơi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nới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không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triển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bỏ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ngay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khi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yêu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cầu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quản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lý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nhà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nước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thẩm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quyền</w:t>
      </w:r>
      <w:proofErr w:type="spellEnd"/>
      <w:r w:rsidRPr="00B757FE">
        <w:rPr>
          <w:rFonts w:ascii="Arial" w:hAnsi="Arial"/>
          <w:sz w:val="20"/>
          <w:szCs w:val="20"/>
        </w:rPr>
        <w:t>;</w:t>
      </w:r>
    </w:p>
    <w:p w14:paraId="6E50CAB0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r w:rsidRPr="00B757FE">
        <w:rPr>
          <w:rFonts w:ascii="Arial" w:hAnsi="Arial"/>
          <w:sz w:val="20"/>
          <w:szCs w:val="20"/>
        </w:rPr>
        <w:t xml:space="preserve">c) </w:t>
      </w:r>
      <w:proofErr w:type="spellStart"/>
      <w:r w:rsidRPr="00B757FE">
        <w:rPr>
          <w:rFonts w:ascii="Arial" w:hAnsi="Arial"/>
          <w:sz w:val="20"/>
          <w:szCs w:val="20"/>
        </w:rPr>
        <w:t>Việc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bồi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thường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hỗ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trình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bỏ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theo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pháp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luật</w:t>
      </w:r>
      <w:proofErr w:type="spellEnd"/>
      <w:r w:rsidRPr="00B757FE">
        <w:rPr>
          <w:rFonts w:ascii="Arial" w:hAnsi="Arial"/>
          <w:sz w:val="20"/>
          <w:szCs w:val="20"/>
        </w:rPr>
        <w:t>.</w:t>
      </w:r>
    </w:p>
    <w:p w14:paraId="2C7CC091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</w:rPr>
      </w:pPr>
      <w:bookmarkStart w:id="69" w:name="dieu_49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49</w:t>
      </w:r>
      <w:r w:rsidR="00C9089E" w:rsidRPr="00B757FE">
        <w:rPr>
          <w:rFonts w:ascii="Arial" w:hAnsi="Arial"/>
          <w:b/>
          <w:sz w:val="20"/>
          <w:szCs w:val="20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Hiệu</w:t>
      </w:r>
      <w:proofErr w:type="spellEnd"/>
      <w:r w:rsidR="00C9089E"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lực</w:t>
      </w:r>
      <w:proofErr w:type="spellEnd"/>
      <w:r w:rsidR="00C9089E"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thi</w:t>
      </w:r>
      <w:proofErr w:type="spellEnd"/>
      <w:r w:rsidR="00C9089E"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hành</w:t>
      </w:r>
      <w:proofErr w:type="spellEnd"/>
    </w:p>
    <w:bookmarkEnd w:id="69"/>
    <w:p w14:paraId="48F4539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này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hiệu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lực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sau</w:t>
      </w:r>
      <w:proofErr w:type="spellEnd"/>
      <w:r w:rsidRPr="00B757FE">
        <w:rPr>
          <w:rFonts w:ascii="Arial" w:hAnsi="Arial"/>
          <w:sz w:val="20"/>
          <w:szCs w:val="20"/>
        </w:rPr>
        <w:t xml:space="preserve"> 15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kể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từ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đăng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báo</w:t>
      </w:r>
      <w:proofErr w:type="spellEnd"/>
      <w:r w:rsidRPr="00B757FE">
        <w:rPr>
          <w:rFonts w:ascii="Arial" w:hAnsi="Arial"/>
          <w:sz w:val="20"/>
          <w:szCs w:val="20"/>
        </w:rPr>
        <w:t xml:space="preserve">; </w:t>
      </w:r>
      <w:proofErr w:type="spellStart"/>
      <w:r w:rsidRPr="00B757FE">
        <w:rPr>
          <w:rFonts w:ascii="Arial" w:hAnsi="Arial"/>
          <w:sz w:val="20"/>
          <w:szCs w:val="20"/>
        </w:rPr>
        <w:t>thay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thế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số</w:t>
      </w:r>
      <w:proofErr w:type="spellEnd"/>
      <w:r w:rsidRPr="00B757FE">
        <w:rPr>
          <w:rFonts w:ascii="Arial" w:hAnsi="Arial"/>
          <w:sz w:val="20"/>
          <w:szCs w:val="20"/>
        </w:rPr>
        <w:t xml:space="preserve"> 39/CP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05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7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1996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về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bảo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đảm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trật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tự</w:t>
      </w:r>
      <w:proofErr w:type="spellEnd"/>
      <w:r w:rsidR="008B349C" w:rsidRPr="00B757FE">
        <w:rPr>
          <w:rFonts w:ascii="Arial" w:hAnsi="Arial"/>
          <w:sz w:val="20"/>
          <w:szCs w:val="20"/>
        </w:rPr>
        <w:t>,</w:t>
      </w:r>
      <w:r w:rsidRPr="00B757FE">
        <w:rPr>
          <w:rFonts w:ascii="Arial" w:hAnsi="Arial"/>
          <w:sz w:val="20"/>
          <w:szCs w:val="20"/>
        </w:rPr>
        <w:t xml:space="preserve"> an </w:t>
      </w:r>
      <w:proofErr w:type="spellStart"/>
      <w:r w:rsidRPr="00B757FE">
        <w:rPr>
          <w:rFonts w:ascii="Arial" w:hAnsi="Arial"/>
          <w:sz w:val="20"/>
          <w:szCs w:val="20"/>
        </w:rPr>
        <w:t>toàn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giao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thông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đường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sắt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đã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được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sửa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đổi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bổ</w:t>
      </w:r>
      <w:proofErr w:type="spellEnd"/>
      <w:r w:rsidRPr="00B757FE">
        <w:rPr>
          <w:rFonts w:ascii="Arial" w:hAnsi="Arial"/>
          <w:sz w:val="20"/>
          <w:szCs w:val="20"/>
        </w:rPr>
        <w:t xml:space="preserve"> sung </w:t>
      </w:r>
      <w:proofErr w:type="spellStart"/>
      <w:r w:rsidRPr="00B757FE">
        <w:rPr>
          <w:rFonts w:ascii="Arial" w:hAnsi="Arial"/>
          <w:sz w:val="20"/>
          <w:szCs w:val="20"/>
        </w:rPr>
        <w:t>bằng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số</w:t>
      </w:r>
      <w:proofErr w:type="spellEnd"/>
      <w:r w:rsidRPr="00B757FE">
        <w:rPr>
          <w:rFonts w:ascii="Arial" w:hAnsi="Arial"/>
          <w:sz w:val="20"/>
          <w:szCs w:val="20"/>
        </w:rPr>
        <w:t xml:space="preserve"> 76/1998/NĐ-CP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26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9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1998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(</w:t>
      </w:r>
      <w:proofErr w:type="spellStart"/>
      <w:r w:rsidRPr="00B757FE">
        <w:rPr>
          <w:rFonts w:ascii="Arial" w:hAnsi="Arial"/>
          <w:sz w:val="20"/>
          <w:szCs w:val="20"/>
        </w:rPr>
        <w:t>trừ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Chương</w:t>
      </w:r>
      <w:proofErr w:type="spellEnd"/>
      <w:r w:rsidRPr="00B757FE">
        <w:rPr>
          <w:rFonts w:ascii="Arial" w:hAnsi="Arial"/>
          <w:sz w:val="20"/>
          <w:szCs w:val="20"/>
        </w:rPr>
        <w:t xml:space="preserve"> VI </w:t>
      </w:r>
      <w:proofErr w:type="spellStart"/>
      <w:r w:rsidRPr="00B757FE">
        <w:rPr>
          <w:rFonts w:ascii="Arial" w:hAnsi="Arial"/>
          <w:sz w:val="20"/>
          <w:szCs w:val="20"/>
        </w:rPr>
        <w:t>của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số</w:t>
      </w:r>
      <w:proofErr w:type="spellEnd"/>
      <w:r w:rsidRPr="00B757FE">
        <w:rPr>
          <w:rFonts w:ascii="Arial" w:hAnsi="Arial"/>
          <w:sz w:val="20"/>
          <w:szCs w:val="20"/>
        </w:rPr>
        <w:t xml:space="preserve"> 39/CP </w:t>
      </w:r>
      <w:proofErr w:type="spellStart"/>
      <w:r w:rsidRPr="00B757FE">
        <w:rPr>
          <w:rFonts w:ascii="Arial" w:hAnsi="Arial"/>
          <w:sz w:val="20"/>
          <w:szCs w:val="20"/>
        </w:rPr>
        <w:t>ngày</w:t>
      </w:r>
      <w:proofErr w:type="spellEnd"/>
      <w:r w:rsidRPr="00B757FE">
        <w:rPr>
          <w:rFonts w:ascii="Arial" w:hAnsi="Arial"/>
          <w:sz w:val="20"/>
          <w:szCs w:val="20"/>
        </w:rPr>
        <w:t xml:space="preserve"> 05 </w:t>
      </w:r>
      <w:proofErr w:type="spellStart"/>
      <w:r w:rsidRPr="00B757FE">
        <w:rPr>
          <w:rFonts w:ascii="Arial" w:hAnsi="Arial"/>
          <w:sz w:val="20"/>
          <w:szCs w:val="20"/>
        </w:rPr>
        <w:t>tháng</w:t>
      </w:r>
      <w:proofErr w:type="spellEnd"/>
      <w:r w:rsidRPr="00B757FE">
        <w:rPr>
          <w:rFonts w:ascii="Arial" w:hAnsi="Arial"/>
          <w:sz w:val="20"/>
          <w:szCs w:val="20"/>
        </w:rPr>
        <w:t xml:space="preserve"> 7 </w:t>
      </w:r>
      <w:proofErr w:type="spellStart"/>
      <w:r w:rsidRPr="00B757FE">
        <w:rPr>
          <w:rFonts w:ascii="Arial" w:hAnsi="Arial"/>
          <w:sz w:val="20"/>
          <w:szCs w:val="20"/>
        </w:rPr>
        <w:t>năm</w:t>
      </w:r>
      <w:proofErr w:type="spellEnd"/>
      <w:r w:rsidRPr="00B757FE">
        <w:rPr>
          <w:rFonts w:ascii="Arial" w:hAnsi="Arial"/>
          <w:sz w:val="20"/>
          <w:szCs w:val="20"/>
        </w:rPr>
        <w:t xml:space="preserve"> 1996,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có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A548C" w:rsidRPr="00B757FE">
        <w:rPr>
          <w:rFonts w:ascii="Arial" w:hAnsi="Arial"/>
          <w:sz w:val="20"/>
          <w:szCs w:val="20"/>
        </w:rPr>
        <w:t>văn</w:t>
      </w:r>
      <w:proofErr w:type="spellEnd"/>
      <w:r w:rsidR="00CA548C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A548C" w:rsidRPr="00B757FE">
        <w:rPr>
          <w:rFonts w:ascii="Arial" w:hAnsi="Arial"/>
          <w:sz w:val="20"/>
          <w:szCs w:val="20"/>
        </w:rPr>
        <w:t>bản</w:t>
      </w:r>
      <w:proofErr w:type="spellEnd"/>
      <w:r w:rsidR="00CA548C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A548C" w:rsidRPr="00B757FE">
        <w:rPr>
          <w:rFonts w:ascii="Arial" w:hAnsi="Arial"/>
          <w:sz w:val="20"/>
          <w:szCs w:val="20"/>
        </w:rPr>
        <w:t>khác</w:t>
      </w:r>
      <w:proofErr w:type="spellEnd"/>
      <w:r w:rsidR="00CA548C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A548C" w:rsidRPr="00B757FE">
        <w:rPr>
          <w:rFonts w:ascii="Arial" w:hAnsi="Arial"/>
          <w:sz w:val="20"/>
          <w:szCs w:val="20"/>
        </w:rPr>
        <w:t>thay</w:t>
      </w:r>
      <w:proofErr w:type="spellEnd"/>
      <w:r w:rsidR="00CA548C"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="00CA548C" w:rsidRPr="00B757FE">
        <w:rPr>
          <w:rFonts w:ascii="Arial" w:hAnsi="Arial"/>
          <w:sz w:val="20"/>
          <w:szCs w:val="20"/>
        </w:rPr>
        <w:t>thế</w:t>
      </w:r>
      <w:proofErr w:type="spellEnd"/>
      <w:r w:rsidRPr="00B757FE">
        <w:rPr>
          <w:rFonts w:ascii="Arial" w:hAnsi="Arial"/>
          <w:sz w:val="20"/>
          <w:szCs w:val="20"/>
        </w:rPr>
        <w:t>).</w:t>
      </w:r>
    </w:p>
    <w:p w14:paraId="60389F2D" w14:textId="77777777" w:rsidR="00C9089E" w:rsidRPr="00B757FE" w:rsidRDefault="00BB4E2C" w:rsidP="00717EBD">
      <w:pPr>
        <w:spacing w:after="120"/>
        <w:rPr>
          <w:rFonts w:ascii="Arial" w:hAnsi="Arial"/>
          <w:b/>
          <w:sz w:val="20"/>
          <w:szCs w:val="20"/>
        </w:rPr>
      </w:pPr>
      <w:bookmarkStart w:id="70" w:name="dieu_50"/>
      <w:proofErr w:type="spellStart"/>
      <w:r w:rsidRPr="00B757FE">
        <w:rPr>
          <w:rFonts w:ascii="Arial" w:hAnsi="Arial"/>
          <w:b/>
          <w:sz w:val="20"/>
          <w:szCs w:val="20"/>
        </w:rPr>
        <w:t>Điều</w:t>
      </w:r>
      <w:proofErr w:type="spellEnd"/>
      <w:r w:rsidRPr="00B757FE">
        <w:rPr>
          <w:rFonts w:ascii="Arial" w:hAnsi="Arial"/>
          <w:b/>
          <w:sz w:val="20"/>
          <w:szCs w:val="20"/>
        </w:rPr>
        <w:t xml:space="preserve"> 50</w:t>
      </w:r>
      <w:r w:rsidR="00C9089E" w:rsidRPr="00B757FE">
        <w:rPr>
          <w:rFonts w:ascii="Arial" w:hAnsi="Arial"/>
          <w:b/>
          <w:sz w:val="20"/>
          <w:szCs w:val="20"/>
        </w:rPr>
        <w:t xml:space="preserve">.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Trách</w:t>
      </w:r>
      <w:proofErr w:type="spellEnd"/>
      <w:r w:rsidR="00C9089E"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nhiệm</w:t>
      </w:r>
      <w:proofErr w:type="spellEnd"/>
      <w:r w:rsidR="00C9089E"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thi</w:t>
      </w:r>
      <w:proofErr w:type="spellEnd"/>
      <w:r w:rsidR="00C9089E" w:rsidRPr="00B757F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C9089E" w:rsidRPr="00B757FE">
        <w:rPr>
          <w:rFonts w:ascii="Arial" w:hAnsi="Arial"/>
          <w:b/>
          <w:sz w:val="20"/>
          <w:szCs w:val="20"/>
        </w:rPr>
        <w:t>hành</w:t>
      </w:r>
      <w:proofErr w:type="spellEnd"/>
    </w:p>
    <w:bookmarkEnd w:id="70"/>
    <w:p w14:paraId="773F65D3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  <w:proofErr w:type="spellStart"/>
      <w:r w:rsidRPr="00B757FE">
        <w:rPr>
          <w:rFonts w:ascii="Arial" w:hAnsi="Arial"/>
          <w:sz w:val="20"/>
          <w:szCs w:val="20"/>
        </w:rPr>
        <w:lastRenderedPageBreak/>
        <w:t>Các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trưởng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Thủ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trưởng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ngang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Bộ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Thủ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trưởng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cơ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quan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thuộc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Chính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phủ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Chủ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tịch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Ủy</w:t>
      </w:r>
      <w:proofErr w:type="spellEnd"/>
      <w:r w:rsidRPr="00B757FE">
        <w:rPr>
          <w:rFonts w:ascii="Arial" w:hAnsi="Arial"/>
          <w:sz w:val="20"/>
          <w:szCs w:val="20"/>
        </w:rPr>
        <w:t xml:space="preserve"> ban </w:t>
      </w:r>
      <w:proofErr w:type="spellStart"/>
      <w:r w:rsidRPr="00B757FE">
        <w:rPr>
          <w:rFonts w:ascii="Arial" w:hAnsi="Arial"/>
          <w:sz w:val="20"/>
          <w:szCs w:val="20"/>
        </w:rPr>
        <w:t>nhân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dân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tỉnh</w:t>
      </w:r>
      <w:proofErr w:type="spellEnd"/>
      <w:r w:rsidRPr="00B757FE">
        <w:rPr>
          <w:rFonts w:ascii="Arial" w:hAnsi="Arial"/>
          <w:sz w:val="20"/>
          <w:szCs w:val="20"/>
        </w:rPr>
        <w:t xml:space="preserve">, </w:t>
      </w:r>
      <w:proofErr w:type="spellStart"/>
      <w:r w:rsidRPr="00B757FE">
        <w:rPr>
          <w:rFonts w:ascii="Arial" w:hAnsi="Arial"/>
          <w:sz w:val="20"/>
          <w:szCs w:val="20"/>
        </w:rPr>
        <w:t>thành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phố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trực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thuộc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Trung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ương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chịu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trách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nhiệm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thi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hành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Nghị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định</w:t>
      </w:r>
      <w:proofErr w:type="spellEnd"/>
      <w:r w:rsidRPr="00B757FE">
        <w:rPr>
          <w:rFonts w:ascii="Arial" w:hAnsi="Arial"/>
          <w:sz w:val="20"/>
          <w:szCs w:val="20"/>
        </w:rPr>
        <w:t xml:space="preserve"> </w:t>
      </w:r>
      <w:proofErr w:type="spellStart"/>
      <w:r w:rsidRPr="00B757FE">
        <w:rPr>
          <w:rFonts w:ascii="Arial" w:hAnsi="Arial"/>
          <w:sz w:val="20"/>
          <w:szCs w:val="20"/>
        </w:rPr>
        <w:t>này</w:t>
      </w:r>
      <w:proofErr w:type="spellEnd"/>
      <w:r w:rsidRPr="00B757FE">
        <w:rPr>
          <w:rFonts w:ascii="Arial" w:hAnsi="Arial"/>
          <w:sz w:val="20"/>
          <w:szCs w:val="20"/>
        </w:rPr>
        <w:t>./.</w:t>
      </w:r>
    </w:p>
    <w:p w14:paraId="56323FBE" w14:textId="77777777" w:rsidR="00C9089E" w:rsidRPr="00B757FE" w:rsidRDefault="00C9089E" w:rsidP="00717EBD">
      <w:pPr>
        <w:spacing w:after="120"/>
        <w:rPr>
          <w:rFonts w:ascii="Arial" w:hAnsi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216"/>
      </w:tblGrid>
      <w:tr w:rsidR="00C9089E" w:rsidRPr="00014A03" w14:paraId="23F58749" w14:textId="77777777" w:rsidTr="00014A03">
        <w:tc>
          <w:tcPr>
            <w:tcW w:w="4788" w:type="dxa"/>
            <w:shd w:val="clear" w:color="auto" w:fill="auto"/>
          </w:tcPr>
          <w:p w14:paraId="60C45209" w14:textId="77777777" w:rsidR="00C9089E" w:rsidRPr="00014A03" w:rsidRDefault="001079E1" w:rsidP="00014A03">
            <w:pPr>
              <w:spacing w:after="120"/>
              <w:jc w:val="left"/>
              <w:rPr>
                <w:rFonts w:ascii="Arial" w:hAnsi="Arial"/>
                <w:sz w:val="20"/>
                <w:szCs w:val="20"/>
              </w:rPr>
            </w:pPr>
            <w:r w:rsidRPr="00014A0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717EBD" w:rsidRPr="00014A03">
              <w:rPr>
                <w:rFonts w:ascii="Arial" w:hAnsi="Arial"/>
                <w:b/>
                <w:sz w:val="20"/>
                <w:szCs w:val="20"/>
              </w:rPr>
              <w:br/>
            </w:r>
            <w:proofErr w:type="spellStart"/>
            <w:r w:rsidR="00C9089E" w:rsidRPr="00014A03">
              <w:rPr>
                <w:rFonts w:ascii="Arial" w:hAnsi="Arial"/>
                <w:b/>
                <w:i/>
                <w:sz w:val="20"/>
                <w:szCs w:val="20"/>
              </w:rPr>
              <w:t>Nơi</w:t>
            </w:r>
            <w:proofErr w:type="spellEnd"/>
            <w:r w:rsidR="00C9089E" w:rsidRPr="00014A03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b/>
                <w:i/>
                <w:sz w:val="20"/>
                <w:szCs w:val="20"/>
              </w:rPr>
              <w:t>nhận</w:t>
            </w:r>
            <w:proofErr w:type="spellEnd"/>
            <w:r w:rsidR="00C9089E" w:rsidRPr="00014A03">
              <w:rPr>
                <w:rFonts w:ascii="Arial" w:hAnsi="Arial"/>
                <w:b/>
                <w:i/>
                <w:sz w:val="20"/>
                <w:szCs w:val="20"/>
              </w:rPr>
              <w:t>:</w:t>
            </w:r>
            <w:r w:rsidR="00717EBD" w:rsidRPr="00014A03">
              <w:rPr>
                <w:rFonts w:ascii="Arial" w:hAnsi="Arial"/>
                <w:b/>
                <w:i/>
                <w:sz w:val="20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Ban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Bí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thư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Trung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ương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Đảng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tướng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Phó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tướng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Chính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Bộ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cơ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quan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ngang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Bộ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cơ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quan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thuộc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CP;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HĐND, UBND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tỉnh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thành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phố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trực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thuộc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Trung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ương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Văn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phòng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Trung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ương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và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Ban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của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Đảng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Văn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phòng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tịch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nước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Hội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đồng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Dân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tộc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và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  <w:lang w:val="fr-FR"/>
              </w:rPr>
              <w:t>Ủy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  <w:lang w:val="fr-FR"/>
              </w:rPr>
              <w:t xml:space="preserve"> ban</w:t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của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Quốc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hội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r w:rsidR="00717EBD" w:rsidRPr="00014A03">
              <w:rPr>
                <w:rFonts w:ascii="Arial" w:hAnsi="Arial"/>
                <w:b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Văn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phòng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Quốc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hội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Tòa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án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nhân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dân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tối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cao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r w:rsidR="00717EBD" w:rsidRPr="00014A03">
              <w:rPr>
                <w:rFonts w:ascii="Arial" w:hAnsi="Arial"/>
                <w:b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Viện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Kiểm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sát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nhân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dân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tối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cao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Pr="00014A03">
              <w:rPr>
                <w:rFonts w:ascii="Arial" w:hAnsi="Arial"/>
                <w:b/>
                <w:sz w:val="16"/>
                <w:szCs w:val="20"/>
              </w:rPr>
              <w:t xml:space="preserve"> </w:t>
            </w:r>
            <w:r w:rsidR="00717EBD" w:rsidRPr="00014A03">
              <w:rPr>
                <w:rFonts w:ascii="Arial" w:hAnsi="Arial"/>
                <w:b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Cơ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quan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Trung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ương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của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đoàn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thể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Học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viện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Hành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chính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quốc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gia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VPCP: BTCN,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PCN, 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Website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Chính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Ban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Điều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hành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112,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Người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phát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ngôn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của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tướng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Chính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phủ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,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các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Vụ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Cục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đơn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vị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trực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thuộc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,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Công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báo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;</w:t>
            </w:r>
            <w:r w:rsidR="00717EBD" w:rsidRPr="00014A03">
              <w:rPr>
                <w:rFonts w:ascii="Arial" w:hAnsi="Arial"/>
                <w:sz w:val="16"/>
                <w:szCs w:val="20"/>
              </w:rPr>
              <w:br/>
            </w:r>
            <w:r w:rsidR="00C9089E" w:rsidRPr="00014A03">
              <w:rPr>
                <w:rFonts w:ascii="Arial" w:hAnsi="Arial"/>
                <w:sz w:val="16"/>
                <w:szCs w:val="20"/>
              </w:rPr>
              <w:t xml:space="preserve">-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Lưu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: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Văn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 xml:space="preserve"> </w:t>
            </w:r>
            <w:proofErr w:type="spellStart"/>
            <w:r w:rsidR="00C9089E" w:rsidRPr="00014A03">
              <w:rPr>
                <w:rFonts w:ascii="Arial" w:hAnsi="Arial"/>
                <w:sz w:val="16"/>
                <w:szCs w:val="20"/>
              </w:rPr>
              <w:t>thư</w:t>
            </w:r>
            <w:proofErr w:type="spellEnd"/>
            <w:r w:rsidR="00C9089E" w:rsidRPr="00014A03">
              <w:rPr>
                <w:rFonts w:ascii="Arial" w:hAnsi="Arial"/>
                <w:sz w:val="16"/>
                <w:szCs w:val="20"/>
              </w:rPr>
              <w:t>, CN</w:t>
            </w:r>
            <w:r w:rsidR="00F074FF" w:rsidRPr="00014A03">
              <w:rPr>
                <w:rFonts w:ascii="Arial" w:hAnsi="Arial"/>
                <w:sz w:val="16"/>
                <w:szCs w:val="20"/>
              </w:rPr>
              <w:t>.</w:t>
            </w:r>
          </w:p>
        </w:tc>
        <w:tc>
          <w:tcPr>
            <w:tcW w:w="4216" w:type="dxa"/>
            <w:shd w:val="clear" w:color="auto" w:fill="auto"/>
          </w:tcPr>
          <w:p w14:paraId="668C0054" w14:textId="77777777" w:rsidR="00C9089E" w:rsidRPr="00014A03" w:rsidRDefault="00C9089E" w:rsidP="00014A03">
            <w:pPr>
              <w:pStyle w:val="Title"/>
              <w:spacing w:after="120"/>
              <w:rPr>
                <w:rFonts w:ascii="Arial" w:hAnsi="Arial" w:cs="Times New Roman"/>
                <w:sz w:val="20"/>
                <w:szCs w:val="20"/>
              </w:rPr>
            </w:pPr>
            <w:r w:rsidRPr="00014A03">
              <w:rPr>
                <w:rFonts w:ascii="Arial" w:hAnsi="Arial" w:cs="Times New Roman"/>
                <w:sz w:val="20"/>
                <w:szCs w:val="20"/>
              </w:rPr>
              <w:t>TM. CHÍNH PHỦ</w:t>
            </w:r>
            <w:r w:rsidR="00717EBD" w:rsidRPr="00014A03">
              <w:rPr>
                <w:rFonts w:ascii="Arial" w:hAnsi="Arial" w:cs="Times New Roman"/>
                <w:sz w:val="20"/>
                <w:szCs w:val="20"/>
              </w:rPr>
              <w:br/>
            </w:r>
            <w:r w:rsidRPr="00014A03">
              <w:rPr>
                <w:rFonts w:ascii="Arial" w:hAnsi="Arial" w:cs="Times New Roman"/>
                <w:sz w:val="20"/>
                <w:szCs w:val="20"/>
              </w:rPr>
              <w:t>THỦ TƯỚNG</w:t>
            </w:r>
            <w:r w:rsidR="00717EBD" w:rsidRPr="00014A03">
              <w:rPr>
                <w:rFonts w:ascii="Arial" w:hAnsi="Arial" w:cs="Times New Roman"/>
                <w:sz w:val="20"/>
                <w:szCs w:val="20"/>
              </w:rPr>
              <w:br/>
            </w:r>
            <w:r w:rsidR="00717EBD" w:rsidRPr="00014A03">
              <w:rPr>
                <w:rFonts w:ascii="Arial" w:hAnsi="Arial" w:cs="Times New Roman"/>
                <w:sz w:val="20"/>
                <w:szCs w:val="20"/>
              </w:rPr>
              <w:br/>
            </w:r>
            <w:r w:rsidR="00717EBD" w:rsidRPr="00014A03">
              <w:rPr>
                <w:rFonts w:ascii="Arial" w:hAnsi="Arial" w:cs="Times New Roman"/>
                <w:sz w:val="20"/>
                <w:szCs w:val="20"/>
              </w:rPr>
              <w:br/>
            </w:r>
            <w:r w:rsidR="00717EBD" w:rsidRPr="00014A03">
              <w:rPr>
                <w:rFonts w:ascii="Arial" w:hAnsi="Arial" w:cs="Times New Roman"/>
                <w:sz w:val="20"/>
                <w:szCs w:val="20"/>
              </w:rPr>
              <w:br/>
            </w:r>
            <w:r w:rsidR="00717EBD" w:rsidRPr="00014A03">
              <w:rPr>
                <w:rFonts w:ascii="Arial" w:hAnsi="Arial" w:cs="Times New Roman"/>
                <w:sz w:val="20"/>
                <w:szCs w:val="20"/>
              </w:rPr>
              <w:br/>
            </w:r>
            <w:r w:rsidR="001079E1" w:rsidRPr="00014A03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014A03">
              <w:rPr>
                <w:rFonts w:ascii="Arial" w:hAnsi="Arial" w:cs="Times New Roman"/>
                <w:sz w:val="20"/>
                <w:szCs w:val="20"/>
              </w:rPr>
              <w:t>Nguyễn</w:t>
            </w:r>
            <w:proofErr w:type="spellEnd"/>
            <w:r w:rsidRPr="00014A03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014A03">
              <w:rPr>
                <w:rFonts w:ascii="Arial" w:hAnsi="Arial" w:cs="Times New Roman"/>
                <w:sz w:val="20"/>
                <w:szCs w:val="20"/>
              </w:rPr>
              <w:t>Tấn</w:t>
            </w:r>
            <w:proofErr w:type="spellEnd"/>
            <w:r w:rsidRPr="00014A03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014A03">
              <w:rPr>
                <w:rFonts w:ascii="Arial" w:hAnsi="Arial" w:cs="Times New Roman"/>
                <w:sz w:val="20"/>
                <w:szCs w:val="20"/>
              </w:rPr>
              <w:t>Dũng</w:t>
            </w:r>
            <w:proofErr w:type="spellEnd"/>
            <w:r w:rsidR="006D0DDD" w:rsidRPr="00014A03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</w:p>
        </w:tc>
      </w:tr>
    </w:tbl>
    <w:p w14:paraId="1D53BD29" w14:textId="77777777" w:rsidR="00C9089E" w:rsidRPr="00B757FE" w:rsidRDefault="00C9089E" w:rsidP="00717EBD">
      <w:pPr>
        <w:pStyle w:val="Title"/>
        <w:spacing w:after="120"/>
        <w:rPr>
          <w:rFonts w:ascii="Arial" w:hAnsi="Arial" w:cs="Times New Roman"/>
          <w:sz w:val="20"/>
          <w:szCs w:val="20"/>
        </w:rPr>
      </w:pPr>
    </w:p>
    <w:p w14:paraId="1C29A066" w14:textId="77777777" w:rsidR="003C332B" w:rsidRPr="00B757FE" w:rsidRDefault="003C332B" w:rsidP="00E44CDD">
      <w:pPr>
        <w:spacing w:after="120"/>
        <w:jc w:val="center"/>
        <w:rPr>
          <w:rFonts w:ascii="Arial" w:hAnsi="Arial"/>
          <w:sz w:val="20"/>
          <w:szCs w:val="20"/>
        </w:rPr>
      </w:pPr>
      <w:bookmarkStart w:id="71" w:name="_GoBack"/>
      <w:bookmarkEnd w:id="71"/>
    </w:p>
    <w:sectPr w:rsidR="003C332B" w:rsidRPr="00B757FE" w:rsidSect="00D7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56B04" w14:textId="77777777" w:rsidR="00602018" w:rsidRDefault="00602018">
      <w:r>
        <w:separator/>
      </w:r>
    </w:p>
  </w:endnote>
  <w:endnote w:type="continuationSeparator" w:id="0">
    <w:p w14:paraId="6344E758" w14:textId="77777777" w:rsidR="00602018" w:rsidRDefault="0060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20717" w14:textId="77777777" w:rsidR="00D71774" w:rsidRDefault="00D71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79FC5" w14:textId="77777777" w:rsidR="00D71774" w:rsidRPr="00D71774" w:rsidRDefault="00D71774" w:rsidP="00D71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B0525" w14:textId="77777777" w:rsidR="00D71774" w:rsidRDefault="00D71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6EBE9" w14:textId="77777777" w:rsidR="00602018" w:rsidRDefault="00602018">
      <w:r>
        <w:separator/>
      </w:r>
    </w:p>
  </w:footnote>
  <w:footnote w:type="continuationSeparator" w:id="0">
    <w:p w14:paraId="3A3574CC" w14:textId="77777777" w:rsidR="00602018" w:rsidRDefault="0060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DB99" w14:textId="77777777" w:rsidR="00E44CDD" w:rsidRDefault="00E44CDD" w:rsidP="003A1F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A4A48" w14:textId="77777777" w:rsidR="00E44CDD" w:rsidRDefault="00E44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52162" w14:textId="77777777" w:rsidR="00E44CDD" w:rsidRPr="00D71774" w:rsidRDefault="00E44CDD" w:rsidP="00D71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8D31A" w14:textId="77777777" w:rsidR="00E44CDD" w:rsidRPr="00893F56" w:rsidRDefault="00E44CDD">
    <w:pPr>
      <w:pStyle w:val="Header"/>
      <w:rPr>
        <w:b/>
        <w:i/>
        <w:u w:val="single"/>
      </w:rPr>
    </w:pPr>
    <w:proofErr w:type="spellStart"/>
    <w:r w:rsidRPr="00893F56">
      <w:rPr>
        <w:b/>
        <w:i/>
        <w:u w:val="single"/>
      </w:rPr>
      <w:t>Phần</w:t>
    </w:r>
    <w:proofErr w:type="spellEnd"/>
    <w:r w:rsidRPr="00893F56">
      <w:rPr>
        <w:b/>
        <w:i/>
        <w:u w:val="single"/>
      </w:rPr>
      <w:t xml:space="preserve"> </w:t>
    </w:r>
    <w:proofErr w:type="spellStart"/>
    <w:r w:rsidRPr="00893F56">
      <w:rPr>
        <w:b/>
        <w:i/>
        <w:u w:val="single"/>
      </w:rPr>
      <w:t>mềm</w:t>
    </w:r>
    <w:proofErr w:type="spellEnd"/>
    <w:r w:rsidRPr="00893F56">
      <w:rPr>
        <w:b/>
        <w:i/>
        <w:u w:val="single"/>
      </w:rPr>
      <w:t xml:space="preserve"> </w:t>
    </w:r>
    <w:proofErr w:type="spellStart"/>
    <w:r w:rsidRPr="00893F56">
      <w:rPr>
        <w:b/>
        <w:i/>
        <w:u w:val="single"/>
      </w:rPr>
      <w:t>Thư</w:t>
    </w:r>
    <w:proofErr w:type="spellEnd"/>
    <w:r w:rsidRPr="00893F56">
      <w:rPr>
        <w:b/>
        <w:i/>
        <w:u w:val="single"/>
      </w:rPr>
      <w:t xml:space="preserve"> </w:t>
    </w:r>
    <w:proofErr w:type="spellStart"/>
    <w:r w:rsidRPr="00893F56">
      <w:rPr>
        <w:b/>
        <w:i/>
        <w:u w:val="single"/>
      </w:rPr>
      <w:t>viện</w:t>
    </w:r>
    <w:proofErr w:type="spellEnd"/>
    <w:r w:rsidRPr="00893F56">
      <w:rPr>
        <w:b/>
        <w:i/>
        <w:u w:val="single"/>
      </w:rPr>
      <w:t xml:space="preserve"> </w:t>
    </w:r>
    <w:proofErr w:type="spellStart"/>
    <w:r w:rsidRPr="00893F56">
      <w:rPr>
        <w:b/>
        <w:i/>
        <w:u w:val="single"/>
      </w:rPr>
      <w:t>Pháp</w:t>
    </w:r>
    <w:proofErr w:type="spellEnd"/>
    <w:r w:rsidRPr="00893F56">
      <w:rPr>
        <w:b/>
        <w:i/>
        <w:u w:val="single"/>
      </w:rPr>
      <w:t xml:space="preserve"> </w:t>
    </w:r>
    <w:proofErr w:type="spellStart"/>
    <w:r w:rsidRPr="00893F56">
      <w:rPr>
        <w:b/>
        <w:i/>
        <w:u w:val="single"/>
      </w:rPr>
      <w:t>luật</w:t>
    </w:r>
    <w:proofErr w:type="spellEnd"/>
    <w:r w:rsidRPr="00893F56">
      <w:rPr>
        <w:b/>
        <w:i/>
        <w:u w:val="single"/>
      </w:rPr>
      <w:t xml:space="preserve">                              www.thuvienphapluat.com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8B"/>
    <w:rsid w:val="0000422C"/>
    <w:rsid w:val="00014A03"/>
    <w:rsid w:val="00046B86"/>
    <w:rsid w:val="00056791"/>
    <w:rsid w:val="00086C13"/>
    <w:rsid w:val="000B3336"/>
    <w:rsid w:val="000C3A8B"/>
    <w:rsid w:val="000F38B9"/>
    <w:rsid w:val="001022C4"/>
    <w:rsid w:val="001079E1"/>
    <w:rsid w:val="00111F9C"/>
    <w:rsid w:val="00112491"/>
    <w:rsid w:val="00175669"/>
    <w:rsid w:val="001A1654"/>
    <w:rsid w:val="001A4EEF"/>
    <w:rsid w:val="001B547A"/>
    <w:rsid w:val="001D25C6"/>
    <w:rsid w:val="001D50B1"/>
    <w:rsid w:val="001E3710"/>
    <w:rsid w:val="00201ADC"/>
    <w:rsid w:val="002040A6"/>
    <w:rsid w:val="0025179C"/>
    <w:rsid w:val="00260B2E"/>
    <w:rsid w:val="00264985"/>
    <w:rsid w:val="002760B9"/>
    <w:rsid w:val="00280053"/>
    <w:rsid w:val="002817DA"/>
    <w:rsid w:val="00286257"/>
    <w:rsid w:val="002A507D"/>
    <w:rsid w:val="002C7B35"/>
    <w:rsid w:val="00307912"/>
    <w:rsid w:val="0031437E"/>
    <w:rsid w:val="003569AE"/>
    <w:rsid w:val="00367CB1"/>
    <w:rsid w:val="00394933"/>
    <w:rsid w:val="003A1FAE"/>
    <w:rsid w:val="003C07A2"/>
    <w:rsid w:val="003C332B"/>
    <w:rsid w:val="003E1706"/>
    <w:rsid w:val="003F23F1"/>
    <w:rsid w:val="004011F2"/>
    <w:rsid w:val="00411A31"/>
    <w:rsid w:val="00456B9E"/>
    <w:rsid w:val="00486197"/>
    <w:rsid w:val="0049482D"/>
    <w:rsid w:val="004C58B6"/>
    <w:rsid w:val="004C79EF"/>
    <w:rsid w:val="004D50A8"/>
    <w:rsid w:val="004E4497"/>
    <w:rsid w:val="005A373E"/>
    <w:rsid w:val="005B377C"/>
    <w:rsid w:val="005D1460"/>
    <w:rsid w:val="005F75A6"/>
    <w:rsid w:val="00600827"/>
    <w:rsid w:val="00602018"/>
    <w:rsid w:val="00611861"/>
    <w:rsid w:val="006176CA"/>
    <w:rsid w:val="00651358"/>
    <w:rsid w:val="006A603D"/>
    <w:rsid w:val="006B651A"/>
    <w:rsid w:val="006C2D7A"/>
    <w:rsid w:val="006C4917"/>
    <w:rsid w:val="006C61AB"/>
    <w:rsid w:val="006D0DDD"/>
    <w:rsid w:val="006E08B3"/>
    <w:rsid w:val="006E797B"/>
    <w:rsid w:val="00717EBD"/>
    <w:rsid w:val="00720176"/>
    <w:rsid w:val="0072427D"/>
    <w:rsid w:val="00726BE3"/>
    <w:rsid w:val="00730AD3"/>
    <w:rsid w:val="007918E2"/>
    <w:rsid w:val="007B1931"/>
    <w:rsid w:val="007B788D"/>
    <w:rsid w:val="007D17E7"/>
    <w:rsid w:val="007D7B76"/>
    <w:rsid w:val="0080304D"/>
    <w:rsid w:val="00804D3C"/>
    <w:rsid w:val="00810071"/>
    <w:rsid w:val="00811DAF"/>
    <w:rsid w:val="008251C2"/>
    <w:rsid w:val="00826301"/>
    <w:rsid w:val="008341A7"/>
    <w:rsid w:val="008724D2"/>
    <w:rsid w:val="00876875"/>
    <w:rsid w:val="008771D7"/>
    <w:rsid w:val="0088440C"/>
    <w:rsid w:val="00893F56"/>
    <w:rsid w:val="008A5A80"/>
    <w:rsid w:val="008B141C"/>
    <w:rsid w:val="008B1B2C"/>
    <w:rsid w:val="008B349C"/>
    <w:rsid w:val="008C1D82"/>
    <w:rsid w:val="008F3D0D"/>
    <w:rsid w:val="00903C22"/>
    <w:rsid w:val="00903DC2"/>
    <w:rsid w:val="00910AB3"/>
    <w:rsid w:val="00923EB8"/>
    <w:rsid w:val="00946D11"/>
    <w:rsid w:val="0097430D"/>
    <w:rsid w:val="00990072"/>
    <w:rsid w:val="00991536"/>
    <w:rsid w:val="00992CBE"/>
    <w:rsid w:val="00996CFA"/>
    <w:rsid w:val="009B1690"/>
    <w:rsid w:val="009B52FF"/>
    <w:rsid w:val="009E16AD"/>
    <w:rsid w:val="009E785A"/>
    <w:rsid w:val="009F0BD8"/>
    <w:rsid w:val="009F32D1"/>
    <w:rsid w:val="00A26270"/>
    <w:rsid w:val="00A30AE1"/>
    <w:rsid w:val="00AC4E5C"/>
    <w:rsid w:val="00B11967"/>
    <w:rsid w:val="00B47D75"/>
    <w:rsid w:val="00B67182"/>
    <w:rsid w:val="00B708CB"/>
    <w:rsid w:val="00B757FE"/>
    <w:rsid w:val="00B91F10"/>
    <w:rsid w:val="00B97A6C"/>
    <w:rsid w:val="00BB3387"/>
    <w:rsid w:val="00BB4929"/>
    <w:rsid w:val="00BB4E2C"/>
    <w:rsid w:val="00BD4ABA"/>
    <w:rsid w:val="00BF73FB"/>
    <w:rsid w:val="00C1082E"/>
    <w:rsid w:val="00C15D35"/>
    <w:rsid w:val="00C260EC"/>
    <w:rsid w:val="00C4186A"/>
    <w:rsid w:val="00C454BC"/>
    <w:rsid w:val="00C45D59"/>
    <w:rsid w:val="00C50394"/>
    <w:rsid w:val="00C7370C"/>
    <w:rsid w:val="00C9089E"/>
    <w:rsid w:val="00CA49E4"/>
    <w:rsid w:val="00CA548C"/>
    <w:rsid w:val="00CB7837"/>
    <w:rsid w:val="00CC7A3B"/>
    <w:rsid w:val="00CD798B"/>
    <w:rsid w:val="00CF3B37"/>
    <w:rsid w:val="00CF4D68"/>
    <w:rsid w:val="00D0111C"/>
    <w:rsid w:val="00D21EE3"/>
    <w:rsid w:val="00D36B9C"/>
    <w:rsid w:val="00D37853"/>
    <w:rsid w:val="00D37D49"/>
    <w:rsid w:val="00D4041C"/>
    <w:rsid w:val="00D414D6"/>
    <w:rsid w:val="00D4245A"/>
    <w:rsid w:val="00D65971"/>
    <w:rsid w:val="00D71774"/>
    <w:rsid w:val="00D82453"/>
    <w:rsid w:val="00DA4EB4"/>
    <w:rsid w:val="00DB1DEB"/>
    <w:rsid w:val="00DC2299"/>
    <w:rsid w:val="00DD603A"/>
    <w:rsid w:val="00DF6C0D"/>
    <w:rsid w:val="00E03137"/>
    <w:rsid w:val="00E44CDD"/>
    <w:rsid w:val="00E44F65"/>
    <w:rsid w:val="00E53D94"/>
    <w:rsid w:val="00E54618"/>
    <w:rsid w:val="00E60C22"/>
    <w:rsid w:val="00E65D40"/>
    <w:rsid w:val="00EC1FD3"/>
    <w:rsid w:val="00ED03C2"/>
    <w:rsid w:val="00ED58CA"/>
    <w:rsid w:val="00EF0BA6"/>
    <w:rsid w:val="00F040EE"/>
    <w:rsid w:val="00F074FF"/>
    <w:rsid w:val="00F40A66"/>
    <w:rsid w:val="00F56B96"/>
    <w:rsid w:val="00F95E15"/>
    <w:rsid w:val="00FA6FCD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C58AF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EB4"/>
    <w:pPr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C9089E"/>
    <w:pPr>
      <w:spacing w:before="120"/>
      <w:ind w:firstLine="720"/>
    </w:pPr>
    <w:rPr>
      <w:rFonts w:ascii=".VnTime" w:hAnsi=".VnTime"/>
      <w:szCs w:val="24"/>
    </w:rPr>
  </w:style>
  <w:style w:type="paragraph" w:styleId="Caption">
    <w:name w:val="caption"/>
    <w:basedOn w:val="Normal"/>
    <w:next w:val="Normal"/>
    <w:qFormat/>
    <w:rsid w:val="00C9089E"/>
    <w:pPr>
      <w:jc w:val="center"/>
    </w:pPr>
    <w:rPr>
      <w:rFonts w:ascii=".VnTimeH" w:hAnsi=".VnTimeH"/>
      <w:b/>
      <w:szCs w:val="20"/>
    </w:rPr>
  </w:style>
  <w:style w:type="table" w:styleId="TableGrid">
    <w:name w:val="Table Grid"/>
    <w:basedOn w:val="TableNormal"/>
    <w:rsid w:val="00C9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9089E"/>
    <w:pPr>
      <w:autoSpaceDE w:val="0"/>
      <w:autoSpaceDN w:val="0"/>
      <w:jc w:val="center"/>
    </w:pPr>
    <w:rPr>
      <w:rFonts w:ascii=".VnTimeH" w:hAnsi=".VnTimeH" w:cs=".VnTimeH"/>
      <w:b/>
      <w:bCs/>
      <w:sz w:val="30"/>
      <w:szCs w:val="30"/>
    </w:rPr>
  </w:style>
  <w:style w:type="paragraph" w:styleId="Header">
    <w:name w:val="header"/>
    <w:basedOn w:val="Normal"/>
    <w:rsid w:val="003A1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1FAE"/>
  </w:style>
  <w:style w:type="paragraph" w:styleId="Footer">
    <w:name w:val="footer"/>
    <w:basedOn w:val="Normal"/>
    <w:rsid w:val="003A1FA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71774"/>
    <w:pPr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6483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VIỆN PHÁP LUẬT</vt:lpstr>
    </vt:vector>
  </TitlesOfParts>
  <Company/>
  <LinksUpToDate>false</LinksUpToDate>
  <CharactersWithSpaces>43351</CharactersWithSpaces>
  <SharedDoc>false</SharedDoc>
  <HyperlinkBase>http://vanbanphapluat.co/nghi-dinh-109-2006-nd-cp-huong-dan-luat-duong-sat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2006-10-05T07:14:00Z</cp:lastPrinted>
  <dcterms:created xsi:type="dcterms:W3CDTF">2022-07-26T07:04:00Z</dcterms:created>
  <dcterms:modified xsi:type="dcterms:W3CDTF">2022-08-29T07:27:00Z</dcterms:modified>
</cp:coreProperties>
</file>