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32"/>
        <w:gridCol w:w="5509"/>
      </w:tblGrid>
      <w:tr w:rsidR="00000000" w14:paraId="4756E365" w14:textId="77777777">
        <w:tc>
          <w:tcPr>
            <w:tcW w:w="3332" w:type="dxa"/>
            <w:tcBorders>
              <w:top w:val="nil"/>
              <w:left w:val="nil"/>
              <w:bottom w:val="nil"/>
              <w:right w:val="nil"/>
              <w:tl2br w:val="nil"/>
              <w:tr2bl w:val="nil"/>
            </w:tcBorders>
            <w:shd w:val="clear" w:color="auto" w:fill="auto"/>
            <w:tcMar>
              <w:top w:w="0" w:type="dxa"/>
              <w:left w:w="108" w:type="dxa"/>
              <w:bottom w:w="0" w:type="dxa"/>
              <w:right w:w="108" w:type="dxa"/>
            </w:tcMar>
          </w:tcPr>
          <w:p w14:paraId="3433E8F7" w14:textId="77777777" w:rsidR="00000000" w:rsidRDefault="007E18F6">
            <w:pPr>
              <w:spacing w:before="120"/>
              <w:jc w:val="center"/>
            </w:pPr>
            <w:bookmarkStart w:id="0" w:name="_GoBack"/>
            <w:bookmarkEnd w:id="0"/>
            <w:r>
              <w:rPr>
                <w:b/>
                <w:bCs/>
                <w:lang w:val="vi-VN"/>
              </w:rPr>
              <w:t>CHÍNH PHỦ</w:t>
            </w:r>
            <w:r>
              <w:rPr>
                <w:b/>
                <w:bCs/>
                <w:lang w:val="vi-VN"/>
              </w:rPr>
              <w:br/>
              <w:t>-------</w:t>
            </w:r>
          </w:p>
        </w:tc>
        <w:tc>
          <w:tcPr>
            <w:tcW w:w="5509" w:type="dxa"/>
            <w:tcBorders>
              <w:top w:val="nil"/>
              <w:left w:val="nil"/>
              <w:bottom w:val="nil"/>
              <w:right w:val="nil"/>
              <w:tl2br w:val="nil"/>
              <w:tr2bl w:val="nil"/>
            </w:tcBorders>
            <w:shd w:val="clear" w:color="auto" w:fill="auto"/>
            <w:tcMar>
              <w:top w:w="0" w:type="dxa"/>
              <w:left w:w="108" w:type="dxa"/>
              <w:bottom w:w="0" w:type="dxa"/>
              <w:right w:w="108" w:type="dxa"/>
            </w:tcMar>
          </w:tcPr>
          <w:p w14:paraId="467D1336" w14:textId="77777777" w:rsidR="00000000" w:rsidRDefault="007E18F6">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59EF9B90" w14:textId="77777777">
        <w:tblPrEx>
          <w:tblBorders>
            <w:top w:val="none" w:sz="0" w:space="0" w:color="auto"/>
            <w:bottom w:val="none" w:sz="0" w:space="0" w:color="auto"/>
            <w:insideH w:val="none" w:sz="0" w:space="0" w:color="auto"/>
            <w:insideV w:val="none" w:sz="0" w:space="0" w:color="auto"/>
          </w:tblBorders>
        </w:tblPrEx>
        <w:tc>
          <w:tcPr>
            <w:tcW w:w="3332" w:type="dxa"/>
            <w:tcBorders>
              <w:top w:val="nil"/>
              <w:left w:val="nil"/>
              <w:bottom w:val="nil"/>
              <w:right w:val="nil"/>
              <w:tl2br w:val="nil"/>
              <w:tr2bl w:val="nil"/>
            </w:tcBorders>
            <w:shd w:val="clear" w:color="auto" w:fill="auto"/>
            <w:tcMar>
              <w:top w:w="0" w:type="dxa"/>
              <w:left w:w="108" w:type="dxa"/>
              <w:bottom w:w="0" w:type="dxa"/>
              <w:right w:w="108" w:type="dxa"/>
            </w:tcMar>
          </w:tcPr>
          <w:p w14:paraId="6B5E7F4B" w14:textId="77777777" w:rsidR="00000000" w:rsidRDefault="007E18F6">
            <w:pPr>
              <w:spacing w:before="120"/>
              <w:jc w:val="center"/>
            </w:pPr>
            <w:r>
              <w:rPr>
                <w:lang w:val="vi-VN"/>
              </w:rPr>
              <w:t xml:space="preserve">Số: </w:t>
            </w:r>
            <w:r>
              <w:t>63</w:t>
            </w:r>
            <w:r>
              <w:rPr>
                <w:lang w:val="vi-VN"/>
              </w:rPr>
              <w:t>/</w:t>
            </w:r>
            <w:r>
              <w:t>2017/</w:t>
            </w:r>
            <w:r>
              <w:rPr>
                <w:lang w:val="vi-VN"/>
              </w:rPr>
              <w:t>N</w:t>
            </w:r>
            <w:r>
              <w:t>Đ</w:t>
            </w:r>
            <w:r>
              <w:rPr>
                <w:lang w:val="vi-VN"/>
              </w:rPr>
              <w:t>-CP</w:t>
            </w:r>
          </w:p>
        </w:tc>
        <w:tc>
          <w:tcPr>
            <w:tcW w:w="5509" w:type="dxa"/>
            <w:tcBorders>
              <w:top w:val="nil"/>
              <w:left w:val="nil"/>
              <w:bottom w:val="nil"/>
              <w:right w:val="nil"/>
              <w:tl2br w:val="nil"/>
              <w:tr2bl w:val="nil"/>
            </w:tcBorders>
            <w:shd w:val="clear" w:color="auto" w:fill="auto"/>
            <w:tcMar>
              <w:top w:w="0" w:type="dxa"/>
              <w:left w:w="108" w:type="dxa"/>
              <w:bottom w:w="0" w:type="dxa"/>
              <w:right w:w="108" w:type="dxa"/>
            </w:tcMar>
          </w:tcPr>
          <w:p w14:paraId="234645C7" w14:textId="77777777" w:rsidR="00000000" w:rsidRDefault="007E18F6">
            <w:pPr>
              <w:spacing w:before="120"/>
              <w:jc w:val="right"/>
            </w:pPr>
            <w:r>
              <w:rPr>
                <w:i/>
                <w:iCs/>
                <w:lang w:val="vi-VN"/>
              </w:rPr>
              <w:t xml:space="preserve">Hà Nội, ngày </w:t>
            </w:r>
            <w:r>
              <w:rPr>
                <w:i/>
                <w:iCs/>
              </w:rPr>
              <w:t>19</w:t>
            </w:r>
            <w:r>
              <w:rPr>
                <w:i/>
                <w:iCs/>
                <w:lang w:val="vi-VN"/>
              </w:rPr>
              <w:t xml:space="preserve"> tháng </w:t>
            </w:r>
            <w:r>
              <w:rPr>
                <w:i/>
                <w:iCs/>
              </w:rPr>
              <w:t>05</w:t>
            </w:r>
            <w:r>
              <w:rPr>
                <w:i/>
                <w:iCs/>
                <w:lang w:val="vi-VN"/>
              </w:rPr>
              <w:t xml:space="preserve"> năm 2017</w:t>
            </w:r>
          </w:p>
        </w:tc>
      </w:tr>
    </w:tbl>
    <w:p w14:paraId="582FCCF6" w14:textId="77777777" w:rsidR="00000000" w:rsidRDefault="007E18F6">
      <w:pPr>
        <w:spacing w:before="120" w:after="280" w:afterAutospacing="1"/>
      </w:pPr>
      <w:r>
        <w:rPr>
          <w:lang w:val="vi-VN"/>
        </w:rPr>
        <w:t> </w:t>
      </w:r>
    </w:p>
    <w:p w14:paraId="3CD6D78D" w14:textId="77777777" w:rsidR="00000000" w:rsidRDefault="007E18F6">
      <w:pPr>
        <w:spacing w:before="120" w:after="280" w:afterAutospacing="1"/>
        <w:jc w:val="center"/>
      </w:pPr>
      <w:bookmarkStart w:id="1" w:name="loai_1"/>
      <w:r>
        <w:rPr>
          <w:b/>
          <w:bCs/>
          <w:lang w:val="vi-VN"/>
        </w:rPr>
        <w:t>NGHỊ ĐỊNH</w:t>
      </w:r>
      <w:bookmarkEnd w:id="1"/>
    </w:p>
    <w:p w14:paraId="1918226D" w14:textId="77777777" w:rsidR="00000000" w:rsidRDefault="007E18F6">
      <w:pPr>
        <w:spacing w:before="120" w:after="280" w:afterAutospacing="1"/>
        <w:jc w:val="center"/>
      </w:pPr>
      <w:bookmarkStart w:id="2" w:name="loai_1_name"/>
      <w:r>
        <w:rPr>
          <w:lang w:val="vi-VN"/>
        </w:rPr>
        <w:t>QUY ĐỊNH MỘT SỐ CƠ CHẾ, CHÍNH SÁCH TÀI CHÍNH NGÂN SÁCH ĐẶC THÙ ĐỐI VỚI THỦ ĐÔ HÀ NỘI</w:t>
      </w:r>
      <w:bookmarkEnd w:id="2"/>
    </w:p>
    <w:p w14:paraId="4DED8025" w14:textId="77777777" w:rsidR="00000000" w:rsidRDefault="007E18F6">
      <w:pPr>
        <w:spacing w:before="120" w:after="280" w:afterAutospacing="1"/>
      </w:pPr>
      <w:r>
        <w:rPr>
          <w:i/>
          <w:iCs/>
          <w:lang w:val="vi-VN"/>
        </w:rPr>
        <w:t xml:space="preserve">Căn cứ </w:t>
      </w:r>
      <w:r>
        <w:rPr>
          <w:i/>
          <w:iCs/>
          <w:lang w:val="vi-VN"/>
        </w:rPr>
        <w:t>Luật tổ chức Chính phủ ngày 19 tháng 6 năm 2015;</w:t>
      </w:r>
    </w:p>
    <w:p w14:paraId="2B59EF66" w14:textId="77777777" w:rsidR="00000000" w:rsidRDefault="007E18F6">
      <w:pPr>
        <w:spacing w:before="120" w:after="280" w:afterAutospacing="1"/>
      </w:pPr>
      <w:r>
        <w:rPr>
          <w:i/>
          <w:iCs/>
          <w:lang w:val="vi-VN"/>
        </w:rPr>
        <w:t xml:space="preserve">Căn cứ Luật tổ chức chính quyền địa phương ngày </w:t>
      </w:r>
      <w:r>
        <w:rPr>
          <w:i/>
          <w:iCs/>
        </w:rPr>
        <w:t>1</w:t>
      </w:r>
      <w:r>
        <w:rPr>
          <w:i/>
          <w:iCs/>
          <w:lang w:val="vi-VN"/>
        </w:rPr>
        <w:t>9 tháng 6 năm 2015;</w:t>
      </w:r>
    </w:p>
    <w:p w14:paraId="3441DB5F" w14:textId="77777777" w:rsidR="00000000" w:rsidRDefault="007E18F6">
      <w:pPr>
        <w:spacing w:before="120" w:after="280" w:afterAutospacing="1"/>
      </w:pPr>
      <w:r>
        <w:rPr>
          <w:i/>
          <w:iCs/>
          <w:lang w:val="vi-VN"/>
        </w:rPr>
        <w:t>Căn cứ Luật ngân sách nhà nước ngày 25 tháng 6 năm 2015;</w:t>
      </w:r>
    </w:p>
    <w:p w14:paraId="5D8991A5" w14:textId="77777777" w:rsidR="00000000" w:rsidRDefault="007E18F6">
      <w:pPr>
        <w:spacing w:before="120" w:after="280" w:afterAutospacing="1"/>
      </w:pPr>
      <w:r>
        <w:rPr>
          <w:i/>
          <w:iCs/>
          <w:lang w:val="vi-VN"/>
        </w:rPr>
        <w:t>Căn cứ Luật đầu tư công ngày 18 tháng 6 năm 2014;</w:t>
      </w:r>
    </w:p>
    <w:p w14:paraId="01A54162" w14:textId="77777777" w:rsidR="00000000" w:rsidRDefault="007E18F6">
      <w:pPr>
        <w:spacing w:before="120" w:after="280" w:afterAutospacing="1"/>
      </w:pPr>
      <w:r>
        <w:rPr>
          <w:i/>
          <w:iCs/>
          <w:lang w:val="vi-VN"/>
        </w:rPr>
        <w:t>Căn cứ Luật Thủ đô ngày 21 thán</w:t>
      </w:r>
      <w:r>
        <w:rPr>
          <w:i/>
          <w:iCs/>
          <w:lang w:val="vi-VN"/>
        </w:rPr>
        <w:t>g 11 năm 2012;</w:t>
      </w:r>
    </w:p>
    <w:p w14:paraId="3BCA094B" w14:textId="77777777" w:rsidR="00000000" w:rsidRDefault="007E18F6">
      <w:pPr>
        <w:spacing w:before="120" w:after="280" w:afterAutospacing="1"/>
      </w:pPr>
      <w:r>
        <w:rPr>
          <w:i/>
          <w:iCs/>
          <w:lang w:val="vi-VN"/>
        </w:rPr>
        <w:t>Căn cứ Luật quản lý nợ công ngày 17 tháng 6 năm 2009;</w:t>
      </w:r>
    </w:p>
    <w:p w14:paraId="50D36108" w14:textId="77777777" w:rsidR="00000000" w:rsidRDefault="007E18F6">
      <w:pPr>
        <w:spacing w:before="120" w:after="280" w:afterAutospacing="1"/>
      </w:pPr>
      <w:r>
        <w:rPr>
          <w:i/>
          <w:iCs/>
          <w:lang w:val="vi-VN"/>
        </w:rPr>
        <w:t>Theo đề nghị của Bộ trưởng Bộ Tài chính,</w:t>
      </w:r>
    </w:p>
    <w:p w14:paraId="583E4C97" w14:textId="77777777" w:rsidR="00000000" w:rsidRDefault="007E18F6">
      <w:pPr>
        <w:spacing w:before="120" w:after="280" w:afterAutospacing="1"/>
      </w:pPr>
      <w:r>
        <w:rPr>
          <w:i/>
          <w:iCs/>
          <w:lang w:val="vi-VN"/>
        </w:rPr>
        <w:t>Chính phủ ban hành Nghị định quy định một số cơ chế, ch</w:t>
      </w:r>
      <w:r>
        <w:rPr>
          <w:i/>
          <w:iCs/>
        </w:rPr>
        <w:t>í</w:t>
      </w:r>
      <w:r>
        <w:rPr>
          <w:i/>
          <w:iCs/>
          <w:lang w:val="vi-VN"/>
        </w:rPr>
        <w:t>nh sách tài chính ngân sách đặc thù đối với Thủ đô Hà Nội.</w:t>
      </w:r>
    </w:p>
    <w:p w14:paraId="690D3124" w14:textId="77777777" w:rsidR="00000000" w:rsidRDefault="007E18F6">
      <w:pPr>
        <w:spacing w:before="120" w:after="280" w:afterAutospacing="1"/>
      </w:pPr>
      <w:bookmarkStart w:id="3" w:name="chuong_1"/>
      <w:r>
        <w:rPr>
          <w:b/>
          <w:bCs/>
          <w:lang w:val="vi-VN"/>
        </w:rPr>
        <w:t xml:space="preserve">Chương I </w:t>
      </w:r>
      <w:bookmarkEnd w:id="3"/>
    </w:p>
    <w:p w14:paraId="3A232EAF" w14:textId="77777777" w:rsidR="00000000" w:rsidRDefault="007E18F6">
      <w:pPr>
        <w:spacing w:before="120" w:after="280" w:afterAutospacing="1"/>
        <w:jc w:val="center"/>
      </w:pPr>
      <w:bookmarkStart w:id="4" w:name="chuong_1_name"/>
      <w:r>
        <w:rPr>
          <w:b/>
          <w:bCs/>
          <w:lang w:val="vi-VN"/>
        </w:rPr>
        <w:t>NHỮNG QUY ĐỊNH CHUNG</w:t>
      </w:r>
      <w:bookmarkEnd w:id="4"/>
    </w:p>
    <w:p w14:paraId="72C2CC08" w14:textId="77777777" w:rsidR="00000000" w:rsidRDefault="007E18F6">
      <w:pPr>
        <w:spacing w:before="120" w:after="280" w:afterAutospacing="1"/>
      </w:pPr>
      <w:bookmarkStart w:id="5" w:name="dieu_1"/>
      <w:r>
        <w:rPr>
          <w:b/>
          <w:bCs/>
          <w:lang w:val="vi-VN"/>
        </w:rPr>
        <w:t>Điều 1. Phạm vi điều chỉnh</w:t>
      </w:r>
      <w:bookmarkEnd w:id="5"/>
    </w:p>
    <w:p w14:paraId="361A54A7" w14:textId="77777777" w:rsidR="00000000" w:rsidRDefault="007E18F6">
      <w:pPr>
        <w:spacing w:before="120" w:after="280" w:afterAutospacing="1"/>
      </w:pPr>
      <w:r>
        <w:rPr>
          <w:lang w:val="vi-VN"/>
        </w:rPr>
        <w:t>1. Nghị định này quy định chi tiết thi hành Luật ngân sách nhà nước và Luật Thủ đô về một số cơ chế, chính sách tài chính ngân sách đặc thù đối với Thủ đô Hà Nội.</w:t>
      </w:r>
    </w:p>
    <w:p w14:paraId="2B2E6D5A" w14:textId="77777777" w:rsidR="00000000" w:rsidRDefault="007E18F6">
      <w:pPr>
        <w:spacing w:before="120" w:after="280" w:afterAutospacing="1"/>
      </w:pPr>
      <w:r>
        <w:rPr>
          <w:lang w:val="vi-VN"/>
        </w:rPr>
        <w:t>2. Các cơ chế, chính sách tài chính - ngân sách khác không quy địn</w:t>
      </w:r>
      <w:r>
        <w:rPr>
          <w:lang w:val="vi-VN"/>
        </w:rPr>
        <w:t>h tại Nghị định này thực hiện theo quy định của Luật ngân sách nhà nước, các Nghị định khác của Chính phủ quy định hướng dẫn chi tiết thi hành Luật ngân sách nhà nước và quy định của pháp luật liên quan.</w:t>
      </w:r>
    </w:p>
    <w:p w14:paraId="2F25D1A4" w14:textId="77777777" w:rsidR="00000000" w:rsidRDefault="007E18F6">
      <w:pPr>
        <w:spacing w:before="120" w:after="280" w:afterAutospacing="1"/>
      </w:pPr>
      <w:bookmarkStart w:id="6" w:name="dieu_2"/>
      <w:r>
        <w:rPr>
          <w:b/>
          <w:bCs/>
          <w:lang w:val="vi-VN"/>
        </w:rPr>
        <w:t>Điều 2. Đối tượng áp dụng</w:t>
      </w:r>
      <w:bookmarkEnd w:id="6"/>
    </w:p>
    <w:p w14:paraId="58E8400B" w14:textId="77777777" w:rsidR="00000000" w:rsidRDefault="007E18F6">
      <w:pPr>
        <w:spacing w:before="120" w:after="280" w:afterAutospacing="1"/>
      </w:pPr>
      <w:r>
        <w:rPr>
          <w:lang w:val="vi-VN"/>
        </w:rPr>
        <w:lastRenderedPageBreak/>
        <w:t>1. Các cơ quan nhà nước, t</w:t>
      </w:r>
      <w:r>
        <w:rPr>
          <w:lang w:val="vi-VN"/>
        </w:rPr>
        <w:t>ổ chức chính trị và các tổ chức chính trị - xã hội, các tổ chức chính trị xã hội - nghề ngh</w:t>
      </w:r>
      <w:r>
        <w:t>i</w:t>
      </w:r>
      <w:r>
        <w:rPr>
          <w:lang w:val="vi-VN"/>
        </w:rPr>
        <w:t>ệp, tổ chức xã hội, tổ chức xã hội nghề nghiệp, đơn vị sự nghiệp công lập sử dụng ngân sách thành phố Hà Nội.</w:t>
      </w:r>
    </w:p>
    <w:p w14:paraId="60EDBA10" w14:textId="77777777" w:rsidR="00000000" w:rsidRDefault="007E18F6">
      <w:pPr>
        <w:spacing w:before="120" w:after="280" w:afterAutospacing="1"/>
      </w:pPr>
      <w:r>
        <w:rPr>
          <w:lang w:val="vi-VN"/>
        </w:rPr>
        <w:t>2. Các tổ chức, cá nhân khác có liên quan đến tài chín</w:t>
      </w:r>
      <w:r>
        <w:rPr>
          <w:lang w:val="vi-VN"/>
        </w:rPr>
        <w:t>h - ngân sách thành phố Hà Nội.</w:t>
      </w:r>
    </w:p>
    <w:p w14:paraId="1B07F060" w14:textId="77777777" w:rsidR="00000000" w:rsidRDefault="007E18F6">
      <w:pPr>
        <w:spacing w:before="120" w:after="280" w:afterAutospacing="1"/>
      </w:pPr>
      <w:bookmarkStart w:id="7" w:name="dieu_3"/>
      <w:r>
        <w:rPr>
          <w:b/>
          <w:bCs/>
          <w:lang w:val="vi-VN"/>
        </w:rPr>
        <w:t>Điều 3. Nguồn thu, nhiệm vụ chi ngân sách Thủ đô Hà Nội</w:t>
      </w:r>
      <w:bookmarkEnd w:id="7"/>
    </w:p>
    <w:p w14:paraId="1A9D5052" w14:textId="77777777" w:rsidR="00000000" w:rsidRDefault="007E18F6">
      <w:pPr>
        <w:spacing w:before="120" w:after="280" w:afterAutospacing="1"/>
      </w:pPr>
      <w:r>
        <w:rPr>
          <w:lang w:val="vi-VN"/>
        </w:rPr>
        <w:t>1. Nguồn thu và nhiệm vụ chi của ngân sách Thủ đô Hà Nội được phân cấp theo quy định của Luật ngân sách nhà nước, Ủy ban nhân dân thành phố Hà Nội trình Hội đồng nhân d</w:t>
      </w:r>
      <w:r>
        <w:rPr>
          <w:lang w:val="vi-VN"/>
        </w:rPr>
        <w:t>ân thành phố quyết định phân cấp nguồn thu, nhiệm vụ chi cụ thể giữa ngân sách các cấp thuộc thành phố (thị xã, quận, huyện, phường, thị trấn, xã) theo quy định của Luật ngân sách nhà nước, phù hợp với tình hình thực tế, yêu cầu phát triển kinh tế - xã hội</w:t>
      </w:r>
      <w:r>
        <w:rPr>
          <w:lang w:val="vi-VN"/>
        </w:rPr>
        <w:t xml:space="preserve"> và bảo đảm quốc phòng, an ninh, trật tự an toàn xã hội của Thành phố.</w:t>
      </w:r>
    </w:p>
    <w:p w14:paraId="201F0B2B" w14:textId="77777777" w:rsidR="00000000" w:rsidRDefault="007E18F6">
      <w:pPr>
        <w:spacing w:before="120" w:after="280" w:afterAutospacing="1"/>
      </w:pPr>
      <w:r>
        <w:rPr>
          <w:lang w:val="vi-VN"/>
        </w:rPr>
        <w:t xml:space="preserve">2. Hằng năm, căn cứ vào dự toán ngân sách được Thủ tướng Chính phủ giao và hướng dẫn của Bộ Tài chính, Ủy ban nhân dân thành phố Hà Nội trình Hội đồng nhân dân thành phố quyết định: Dự </w:t>
      </w:r>
      <w:r>
        <w:rPr>
          <w:lang w:val="vi-VN"/>
        </w:rPr>
        <w:t>toán thu, chi ngân sách thành phố; phân b</w:t>
      </w:r>
      <w:r>
        <w:t xml:space="preserve">ổ </w:t>
      </w:r>
      <w:r>
        <w:rPr>
          <w:lang w:val="vi-VN"/>
        </w:rPr>
        <w:t>nhiệm vụ thu, chi cho từng cơ quan, đơn vị thuộc ngân sách cấp thành phố; số bổ sung từ ngân sách thành phố cho ngân sách cấp dưới phù hợp với yêu cầu phát triển kinh tế - xã hội của Thành phố; đồng thời đảm bảo t</w:t>
      </w:r>
      <w:r>
        <w:rPr>
          <w:lang w:val="vi-VN"/>
        </w:rPr>
        <w:t>hực hiện định hướng chung của ngân sách nhà nước.</w:t>
      </w:r>
    </w:p>
    <w:p w14:paraId="61FC3EFF" w14:textId="77777777" w:rsidR="00000000" w:rsidRDefault="007E18F6">
      <w:pPr>
        <w:spacing w:before="120" w:after="280" w:afterAutospacing="1"/>
      </w:pPr>
      <w:r>
        <w:rPr>
          <w:lang w:val="vi-VN"/>
        </w:rPr>
        <w:t>3. Tỷ lệ phần trăm (%) phân chia các khoản thu giữa ngân sách trung ương và ngân sách thành phố do Quốc hội quyết định. Tỷ lệ phần trăm (%) phân chia các khoản thu giữa ngân sách trung ương và ngân sách thà</w:t>
      </w:r>
      <w:r>
        <w:rPr>
          <w:lang w:val="vi-VN"/>
        </w:rPr>
        <w:t>nh phố được ổn định trong thời gian 05 năm, trùng với kỳ k</w:t>
      </w:r>
      <w:r>
        <w:t xml:space="preserve">ế </w:t>
      </w:r>
      <w:r>
        <w:rPr>
          <w:lang w:val="vi-VN"/>
        </w:rPr>
        <w:t xml:space="preserve">hoạch phát triển kinh tế </w:t>
      </w:r>
      <w:r>
        <w:t xml:space="preserve">- </w:t>
      </w:r>
      <w:r>
        <w:rPr>
          <w:lang w:val="vi-VN"/>
        </w:rPr>
        <w:t>xã hội 05 năm hoặc theo Nghị quyết của Quốc hội.</w:t>
      </w:r>
    </w:p>
    <w:p w14:paraId="25099654" w14:textId="77777777" w:rsidR="00000000" w:rsidRDefault="007E18F6">
      <w:pPr>
        <w:spacing w:before="120" w:after="280" w:afterAutospacing="1"/>
      </w:pPr>
      <w:bookmarkStart w:id="8" w:name="chuong_2"/>
      <w:r>
        <w:rPr>
          <w:b/>
          <w:bCs/>
          <w:lang w:val="vi-VN"/>
        </w:rPr>
        <w:t>Chương II</w:t>
      </w:r>
      <w:bookmarkEnd w:id="8"/>
      <w:r>
        <w:rPr>
          <w:b/>
          <w:bCs/>
          <w:lang w:val="vi-VN"/>
        </w:rPr>
        <w:t xml:space="preserve"> </w:t>
      </w:r>
    </w:p>
    <w:p w14:paraId="7BD8D83F" w14:textId="77777777" w:rsidR="00000000" w:rsidRDefault="007E18F6">
      <w:pPr>
        <w:spacing w:before="120" w:after="280" w:afterAutospacing="1"/>
        <w:jc w:val="center"/>
      </w:pPr>
      <w:bookmarkStart w:id="9" w:name="chuong_2_name"/>
      <w:r>
        <w:rPr>
          <w:b/>
          <w:bCs/>
          <w:lang w:val="vi-VN"/>
        </w:rPr>
        <w:t>QUẢN LÝ NGÂN SÁCH THỦ ĐÔ HÀ NỘI</w:t>
      </w:r>
      <w:bookmarkEnd w:id="9"/>
    </w:p>
    <w:p w14:paraId="48ECF0E2" w14:textId="77777777" w:rsidR="00000000" w:rsidRDefault="007E18F6">
      <w:pPr>
        <w:spacing w:before="120" w:after="280" w:afterAutospacing="1"/>
      </w:pPr>
      <w:bookmarkStart w:id="10" w:name="dieu_4"/>
      <w:r>
        <w:rPr>
          <w:b/>
          <w:bCs/>
          <w:lang w:val="vi-VN"/>
        </w:rPr>
        <w:t>Điều 4. Dự toán chi ngân sách Thủ đô Hà Nội</w:t>
      </w:r>
      <w:bookmarkEnd w:id="10"/>
    </w:p>
    <w:p w14:paraId="44E1DBA7" w14:textId="77777777" w:rsidR="00000000" w:rsidRDefault="007E18F6">
      <w:pPr>
        <w:spacing w:before="120" w:after="280" w:afterAutospacing="1"/>
      </w:pPr>
      <w:r>
        <w:rPr>
          <w:lang w:val="vi-VN"/>
        </w:rPr>
        <w:t>Dự toán chi ngân sách của thành p</w:t>
      </w:r>
      <w:r>
        <w:rPr>
          <w:lang w:val="vi-VN"/>
        </w:rPr>
        <w:t>hố Hà Nội được xác định trên cơ sở định mức phân bổ chi ngân sách cao hơn các tỉnh, thành phố trực thuộc trung ương khác được áp dụng cho thời kỳ ổn định ngân sách địa phương.</w:t>
      </w:r>
    </w:p>
    <w:p w14:paraId="27B46F6F" w14:textId="77777777" w:rsidR="00000000" w:rsidRDefault="007E18F6">
      <w:pPr>
        <w:spacing w:before="120" w:after="280" w:afterAutospacing="1"/>
      </w:pPr>
      <w:bookmarkStart w:id="11" w:name="dieu_5"/>
      <w:r>
        <w:rPr>
          <w:b/>
          <w:bCs/>
          <w:lang w:val="vi-VN"/>
        </w:rPr>
        <w:t>Điều 5. Bội chi ngân sách</w:t>
      </w:r>
      <w:bookmarkEnd w:id="11"/>
    </w:p>
    <w:p w14:paraId="5023C007" w14:textId="77777777" w:rsidR="00000000" w:rsidRDefault="007E18F6">
      <w:pPr>
        <w:spacing w:before="120" w:after="280" w:afterAutospacing="1"/>
      </w:pPr>
      <w:r>
        <w:rPr>
          <w:lang w:val="vi-VN"/>
        </w:rPr>
        <w:t xml:space="preserve">1. Ngân sách cấp thành phố được bội chi; bội chi ngân </w:t>
      </w:r>
      <w:r>
        <w:rPr>
          <w:lang w:val="vi-VN"/>
        </w:rPr>
        <w:t xml:space="preserve">sách thành phố chỉ được sử dụng để đầu tư xây dựng các dự án thuộc kế hoạch đầu tư công trung hạn đã được Hội đồng nhân dân thành phố quyết định theo quy định tại </w:t>
      </w:r>
      <w:bookmarkStart w:id="12" w:name="dc_1"/>
      <w:r>
        <w:rPr>
          <w:lang w:val="vi-VN"/>
        </w:rPr>
        <w:t>khoản 5 Điều 7 Luật ngân sách nhà nước</w:t>
      </w:r>
      <w:bookmarkEnd w:id="12"/>
      <w:r>
        <w:rPr>
          <w:lang w:val="vi-VN"/>
        </w:rPr>
        <w:t>.</w:t>
      </w:r>
    </w:p>
    <w:p w14:paraId="068AAA0F" w14:textId="77777777" w:rsidR="00000000" w:rsidRDefault="007E18F6">
      <w:pPr>
        <w:spacing w:before="120" w:after="280" w:afterAutospacing="1"/>
      </w:pPr>
      <w:r>
        <w:rPr>
          <w:lang w:val="vi-VN"/>
        </w:rPr>
        <w:t>2. Hạn mức bội chi ngân sách thành phố do Quốc hội qu</w:t>
      </w:r>
      <w:r>
        <w:rPr>
          <w:lang w:val="vi-VN"/>
        </w:rPr>
        <w:t>yết định hằng năm. Số bội chi cụ thể của ngân sách thành phố hàng năm do Hội đồng nhân dân thành phố quyết định, nhưng không vượt quá mức bội chi ngân sách thành phố đo Quốc hội quyết định hàng năm.</w:t>
      </w:r>
    </w:p>
    <w:p w14:paraId="10AAA8F1" w14:textId="77777777" w:rsidR="00000000" w:rsidRDefault="007E18F6">
      <w:pPr>
        <w:spacing w:before="120" w:after="280" w:afterAutospacing="1"/>
      </w:pPr>
      <w:r>
        <w:rPr>
          <w:lang w:val="vi-VN"/>
        </w:rPr>
        <w:lastRenderedPageBreak/>
        <w:t>3. Bội chi ngân sách thành phố được bù đắp bằng các nguồn</w:t>
      </w:r>
      <w:r>
        <w:rPr>
          <w:lang w:val="vi-VN"/>
        </w:rPr>
        <w:t xml:space="preserve"> vay trong nước từ phát hành trái phiếu chính quyền địa phương, vay lại từ nguồn Chính phủ vay về cho Thành phố vay lại và các khoản vay trong nước khác theo quy định của pháp luật. Thành phố không được vay trực tiếp ngoài nước để bù đắp bội chi ngân sách.</w:t>
      </w:r>
    </w:p>
    <w:p w14:paraId="7E1FCE75" w14:textId="77777777" w:rsidR="00000000" w:rsidRDefault="007E18F6">
      <w:pPr>
        <w:spacing w:before="120" w:after="280" w:afterAutospacing="1"/>
      </w:pPr>
      <w:r>
        <w:rPr>
          <w:lang w:val="vi-VN"/>
        </w:rPr>
        <w:t>4. Mức dư nợ vay (bao gồm vay trong nước từ phát hành trái phiếu chính quyền địa phương, vay lại từ nguồn Chính phủ vay về cho vay lại và các khoản vay trong nước khác theo quy định của pháp luật) của ngân sách thành phố không vượt quá 70% số thu ngân sác</w:t>
      </w:r>
      <w:r>
        <w:rPr>
          <w:lang w:val="vi-VN"/>
        </w:rPr>
        <w:t>h địa phương được hưởng theo phân cấp. Thu ngân sách địa phương được xác định trên cơ s</w:t>
      </w:r>
      <w:r>
        <w:t xml:space="preserve">ở </w:t>
      </w:r>
      <w:r>
        <w:rPr>
          <w:lang w:val="vi-VN"/>
        </w:rPr>
        <w:t>dự toán thu ngân sách thành phố được Quốc hội quyết định của năm dự toán. Trường hợp cần tăng thêm s</w:t>
      </w:r>
      <w:r>
        <w:t xml:space="preserve">ố </w:t>
      </w:r>
      <w:r>
        <w:rPr>
          <w:lang w:val="vi-VN"/>
        </w:rPr>
        <w:t>bội chi thì Thành phố báo cáo Chính phủ, báo cáo Ủy ban thường vụ</w:t>
      </w:r>
      <w:r>
        <w:rPr>
          <w:lang w:val="vi-VN"/>
        </w:rPr>
        <w:t xml:space="preserve"> Quốc hội xem xét, trình Quốc hội quyết định tỷ lệ bội chi ngân sách cấp thành phố trong dự toán ngân sách nhà nước hằng năm.</w:t>
      </w:r>
    </w:p>
    <w:p w14:paraId="25406574" w14:textId="77777777" w:rsidR="00000000" w:rsidRDefault="007E18F6">
      <w:pPr>
        <w:spacing w:before="120" w:after="280" w:afterAutospacing="1"/>
      </w:pPr>
      <w:bookmarkStart w:id="13" w:name="dieu_6"/>
      <w:r>
        <w:rPr>
          <w:b/>
          <w:bCs/>
          <w:lang w:val="vi-VN"/>
        </w:rPr>
        <w:t>Điều 6. Thưởng và bổ sung có mục tiêu từ tăng thu ngân sách trung ương so với dự toán Thủ tướng Chính phủ giao</w:t>
      </w:r>
      <w:bookmarkEnd w:id="13"/>
    </w:p>
    <w:p w14:paraId="3280CBDD" w14:textId="77777777" w:rsidR="00000000" w:rsidRDefault="007E18F6">
      <w:pPr>
        <w:spacing w:before="120" w:after="280" w:afterAutospacing="1"/>
      </w:pPr>
      <w:r>
        <w:rPr>
          <w:lang w:val="vi-VN"/>
        </w:rPr>
        <w:t>1. Hằng năm, trường</w:t>
      </w:r>
      <w:r>
        <w:rPr>
          <w:lang w:val="vi-VN"/>
        </w:rPr>
        <w:t xml:space="preserve"> hợp t</w:t>
      </w:r>
      <w:r>
        <w:t>ổ</w:t>
      </w:r>
      <w:r>
        <w:rPr>
          <w:lang w:val="vi-VN"/>
        </w:rPr>
        <w:t>ng thu ngân sách trung ương tăng so với dự toán Quốc hội quyết định và thu ngân sách trung ương trên địa bàn tăng so với dự toán giao cho thành phố, căn cứ quy định của Luật ngân sách nhà nước, Chính phủ trình Ủy ban thường vụ Quốc hội xem xét, quyế</w:t>
      </w:r>
      <w:r>
        <w:rPr>
          <w:lang w:val="vi-VN"/>
        </w:rPr>
        <w:t>t định mức thưởng và bổ sung có mục tiêu từ số tăng thu ngân sách trung ương theo quy định tại khoản 2 Điều này.</w:t>
      </w:r>
    </w:p>
    <w:p w14:paraId="1219A405" w14:textId="77777777" w:rsidR="00000000" w:rsidRDefault="007E18F6">
      <w:pPr>
        <w:spacing w:before="120" w:after="280" w:afterAutospacing="1"/>
      </w:pPr>
      <w:r>
        <w:rPr>
          <w:lang w:val="vi-VN"/>
        </w:rPr>
        <w:t>2. Ngân sách trung ương bổ sung có mục tiêu (thưởng và bổ sung có mục tiêu) cho thành phố tương ứng toàn bộ số tăng thu ngân sách trung ương so</w:t>
      </w:r>
      <w:r>
        <w:rPr>
          <w:lang w:val="vi-VN"/>
        </w:rPr>
        <w:t xml:space="preserve"> với dự toán Thủ tướng Chính phủ giao, nhưng không vượt quá số tăng thu ngân sách trung ương trên địa bàn so với thực hiện thu năm trước từ các khoản thu phân chia giữa ngân sách trung ương và ngân sách thành phố, các khoản thu ngân sách trung ương hưởng 1</w:t>
      </w:r>
      <w:r>
        <w:rPr>
          <w:lang w:val="vi-VN"/>
        </w:rPr>
        <w:t xml:space="preserve">00% quy định tại các </w:t>
      </w:r>
      <w:bookmarkStart w:id="14" w:name="dc_2"/>
      <w:r>
        <w:rPr>
          <w:lang w:val="vi-VN"/>
        </w:rPr>
        <w:t>điểm b, c, d, g, h, i, q khoản 1 Điều 35 Luật ngân sách nhà nước</w:t>
      </w:r>
      <w:bookmarkEnd w:id="14"/>
      <w:r>
        <w:rPr>
          <w:lang w:val="vi-VN"/>
        </w:rPr>
        <w:t xml:space="preserve"> vượt so với dự toán Thủ tướng Chính phủ giao (không kể: Các khoản thu không giao thành phố quản lý thu, không phát sinh trên địa bàn thành phố Hà Nội mà chỉ hạch toán nộp</w:t>
      </w:r>
      <w:r>
        <w:rPr>
          <w:lang w:val="vi-VN"/>
        </w:rPr>
        <w:t xml:space="preserve"> ở thành phố Hà Nội; các khoản thu đã được cấp có thẩm quyền cho phép sử dụng cho nhiệm vụ chi cụ thể; các khoản hạch toán ghi thu, ghi chi và các khoản thu được để lại đơn vị chi quản lý qua ngân sách nhà nước theo quy định của pháp luật).</w:t>
      </w:r>
    </w:p>
    <w:p w14:paraId="7CB61946" w14:textId="77777777" w:rsidR="00000000" w:rsidRDefault="007E18F6">
      <w:pPr>
        <w:spacing w:before="120" w:after="280" w:afterAutospacing="1"/>
      </w:pPr>
      <w:r>
        <w:rPr>
          <w:lang w:val="vi-VN"/>
        </w:rPr>
        <w:t>Việc xác định s</w:t>
      </w:r>
      <w:r>
        <w:rPr>
          <w:lang w:val="vi-VN"/>
        </w:rPr>
        <w:t>ố bổ sung có mục tiêu trên cơ sở tổng các khoản thu, không tính riêng từng khoản thu.</w:t>
      </w:r>
    </w:p>
    <w:p w14:paraId="70F47AE1" w14:textId="77777777" w:rsidR="00000000" w:rsidRDefault="007E18F6">
      <w:pPr>
        <w:spacing w:before="120" w:after="280" w:afterAutospacing="1"/>
      </w:pPr>
      <w:r>
        <w:rPr>
          <w:lang w:val="vi-VN"/>
        </w:rPr>
        <w:t>3. Căn cứ vào mức thưởng và số bổ sung có mục tiêu từ nguồn tăng thu ngân sách trung ương theo Nghị quyết của Ủy ban thường vụ Quốc hội, Ủy ban nhân dân thành phố báo cáo</w:t>
      </w:r>
      <w:r>
        <w:rPr>
          <w:lang w:val="vi-VN"/>
        </w:rPr>
        <w:t xml:space="preserve"> Hội đồng nhân dân thành ph</w:t>
      </w:r>
      <w:r>
        <w:t xml:space="preserve">ố </w:t>
      </w:r>
      <w:r>
        <w:rPr>
          <w:lang w:val="vi-VN"/>
        </w:rPr>
        <w:t>quyết định sử dụng để đầu tư xây dựng các chương trình, dự án kết cấu hạ tầng; trả nợ các khoản vay; thực hiện các nhiệm vụ quan trọng và thưởng cho ngân sách cấp dưới.</w:t>
      </w:r>
    </w:p>
    <w:p w14:paraId="6E1AEBAB" w14:textId="77777777" w:rsidR="00000000" w:rsidRDefault="007E18F6">
      <w:pPr>
        <w:spacing w:before="120" w:after="280" w:afterAutospacing="1"/>
      </w:pPr>
      <w:bookmarkStart w:id="15" w:name="chuong_3"/>
      <w:r>
        <w:rPr>
          <w:b/>
          <w:bCs/>
          <w:lang w:val="vi-VN"/>
        </w:rPr>
        <w:t>Chương III</w:t>
      </w:r>
      <w:bookmarkEnd w:id="15"/>
    </w:p>
    <w:p w14:paraId="19CFE88C" w14:textId="77777777" w:rsidR="00000000" w:rsidRDefault="007E18F6">
      <w:pPr>
        <w:spacing w:before="120" w:after="280" w:afterAutospacing="1"/>
        <w:jc w:val="center"/>
      </w:pPr>
      <w:bookmarkStart w:id="16" w:name="chuong_3_name"/>
      <w:r>
        <w:rPr>
          <w:b/>
          <w:bCs/>
          <w:lang w:val="vi-VN"/>
        </w:rPr>
        <w:t>HUY ĐỘNG CÁC NGUỒN TÀI CHÍNH CHO ĐẦU TƯ PHÁT TR</w:t>
      </w:r>
      <w:r>
        <w:rPr>
          <w:b/>
          <w:bCs/>
          <w:lang w:val="vi-VN"/>
        </w:rPr>
        <w:t>IỂN THỦ ĐÔ HÀ NỘI</w:t>
      </w:r>
      <w:bookmarkEnd w:id="16"/>
    </w:p>
    <w:p w14:paraId="58190C37" w14:textId="77777777" w:rsidR="00000000" w:rsidRDefault="007E18F6">
      <w:pPr>
        <w:spacing w:before="120" w:after="280" w:afterAutospacing="1"/>
      </w:pPr>
      <w:bookmarkStart w:id="17" w:name="dieu_7"/>
      <w:r>
        <w:rPr>
          <w:b/>
          <w:bCs/>
          <w:lang w:val="vi-VN"/>
        </w:rPr>
        <w:lastRenderedPageBreak/>
        <w:t>Điều 7. Vốn đầu tư phát triển trong nước</w:t>
      </w:r>
      <w:bookmarkEnd w:id="17"/>
    </w:p>
    <w:p w14:paraId="53F66D26" w14:textId="77777777" w:rsidR="00000000" w:rsidRDefault="007E18F6">
      <w:pPr>
        <w:spacing w:before="120" w:after="280" w:afterAutospacing="1"/>
      </w:pPr>
      <w:r>
        <w:rPr>
          <w:lang w:val="vi-VN"/>
        </w:rPr>
        <w:t>1. Nhà nước ưu tiên đầu tư về ngân sách và các nguồn tài chính khác nhằm phát triển kinh tế - xã hội để thành phố thực hiện vai trò trung tâm chính trị - kinh tế - xã hội của khu vực và cả nước.</w:t>
      </w:r>
    </w:p>
    <w:p w14:paraId="2FC63C79" w14:textId="77777777" w:rsidR="00000000" w:rsidRDefault="007E18F6">
      <w:pPr>
        <w:spacing w:before="120" w:after="280" w:afterAutospacing="1"/>
      </w:pPr>
      <w:r>
        <w:rPr>
          <w:lang w:val="vi-VN"/>
        </w:rPr>
        <w:t>2.</w:t>
      </w:r>
      <w:r>
        <w:rPr>
          <w:lang w:val="vi-VN"/>
        </w:rPr>
        <w:t xml:space="preserve"> Đối với một số công trình, dự án quan trọng có quy mô đầu tư lớn thuộc lĩnh vực môi trường, giao thông, thủy lợi do thành phố Hà Nội quản lý vượt quá khả năng cân đối của ngân sách địa phương, Ủy ban nhân dân thành phố Hà Nội lập dự toán kèm theo đề nghị </w:t>
      </w:r>
      <w:r>
        <w:rPr>
          <w:lang w:val="vi-VN"/>
        </w:rPr>
        <w:t>gửi Bộ Kế hoạch và Đầu tư, Bộ Tài chính để tổng hợp báo cáo Chính phủ trình Quốc hội quyết định hỗ trợ từ ngân sách trung ương trong kế hoạch đầu tư công trung hạn cho ngân sách thành phố để triển khai thực hiện.</w:t>
      </w:r>
    </w:p>
    <w:p w14:paraId="630AB67C" w14:textId="77777777" w:rsidR="00000000" w:rsidRDefault="007E18F6">
      <w:pPr>
        <w:spacing w:before="120" w:after="280" w:afterAutospacing="1"/>
      </w:pPr>
      <w:r>
        <w:rPr>
          <w:lang w:val="vi-VN"/>
        </w:rPr>
        <w:t>3. Để sử dụng có hiệu quả quỹ đất thuộc thà</w:t>
      </w:r>
      <w:r>
        <w:rPr>
          <w:lang w:val="vi-VN"/>
        </w:rPr>
        <w:t>nh phố quản lý, Ủy ban nhân dân thành phố Hà Nội được tạm ứng từ nguồn ngân sách thành phố hoặc từ nguồn huy động theo quy định của pháp luật về ngân sách nhà nước cho các dự án xây dựng hạ tầng kỹ thuật thuộc nhiệm vụ đầu tư của ngân sách để tổ chức đấu g</w:t>
      </w:r>
      <w:r>
        <w:rPr>
          <w:lang w:val="vi-VN"/>
        </w:rPr>
        <w:t>iá quyền sử dụng đất, sau khi thực hiện đấu giá quyền sử dụng đất sẽ thu hồi hoàn trả ngân sách hoặc hoàn trả nguồn vốn huy động.</w:t>
      </w:r>
    </w:p>
    <w:p w14:paraId="2D07ACA8" w14:textId="77777777" w:rsidR="00000000" w:rsidRDefault="007E18F6">
      <w:pPr>
        <w:spacing w:before="120" w:after="280" w:afterAutospacing="1"/>
      </w:pPr>
      <w:bookmarkStart w:id="18" w:name="dieu_8"/>
      <w:r>
        <w:rPr>
          <w:b/>
          <w:bCs/>
          <w:lang w:val="vi-VN"/>
        </w:rPr>
        <w:t>Điều 8. Vốn hỗ trợ phát triển chính thức (ODA) và vốn vay ưu đãi của các nhà tài trợ nước ngoài</w:t>
      </w:r>
      <w:bookmarkEnd w:id="18"/>
    </w:p>
    <w:p w14:paraId="1A777B4E" w14:textId="77777777" w:rsidR="00000000" w:rsidRDefault="007E18F6">
      <w:pPr>
        <w:spacing w:before="120" w:after="280" w:afterAutospacing="1"/>
      </w:pPr>
      <w:r>
        <w:rPr>
          <w:lang w:val="vi-VN"/>
        </w:rPr>
        <w:t>1. Chính phủ ưu tiên bố trí vố</w:t>
      </w:r>
      <w:r>
        <w:rPr>
          <w:lang w:val="vi-VN"/>
        </w:rPr>
        <w:t>n hỗ trợ phát triển chính thức (ODA) và nguồn vốn vay ưu đãi khá</w:t>
      </w:r>
      <w:r>
        <w:t xml:space="preserve">c </w:t>
      </w:r>
      <w:r>
        <w:rPr>
          <w:lang w:val="vi-VN"/>
        </w:rPr>
        <w:t>cho thành phố Hà Nội để đầu tư các chương trình, dự án xây dựng hệ thống kết cấu hạ tầng kỹ thuật đô thị, môi trường và phúc lợi xã hội.</w:t>
      </w:r>
    </w:p>
    <w:p w14:paraId="74C223BE" w14:textId="77777777" w:rsidR="00000000" w:rsidRDefault="007E18F6">
      <w:pPr>
        <w:spacing w:before="120" w:after="280" w:afterAutospacing="1"/>
      </w:pPr>
      <w:r>
        <w:rPr>
          <w:lang w:val="vi-VN"/>
        </w:rPr>
        <w:t>2. Việc bố trí vốn đầu tư cho các chương trình, dự án</w:t>
      </w:r>
      <w:r>
        <w:rPr>
          <w:lang w:val="vi-VN"/>
        </w:rPr>
        <w:t xml:space="preserve"> sử dụng nguồn vốn ODA và nguồn vốn vay ưu đãi khác trên địa bàn Thành phố được thực hiện theo nguyên tắc: Đối với chương trình, dự án thuộc nhiệm vụ chi của ngân sách thành phố Hà Nội, Chính phủ cho Thành phố vay lại hoặc cấp phát một phần theo quy định c</w:t>
      </w:r>
      <w:r>
        <w:rPr>
          <w:lang w:val="vi-VN"/>
        </w:rPr>
        <w:t>ủa pháp luật. Thành phố có trách nhiệm bố trí vốn đối ứng từ ngân sách thành phố để thực hiện và hoàn trả gốc, lãi phần vay lại đầy đủ, đúng hạn theo quy định của pháp luật.</w:t>
      </w:r>
    </w:p>
    <w:p w14:paraId="56E22A01" w14:textId="77777777" w:rsidR="00000000" w:rsidRDefault="007E18F6">
      <w:pPr>
        <w:spacing w:before="120" w:after="280" w:afterAutospacing="1"/>
      </w:pPr>
      <w:r>
        <w:rPr>
          <w:lang w:val="vi-VN"/>
        </w:rPr>
        <w:t>3. Mức bố trí cụ thể về vốn ODA hoặc các nguồn vốn vay ưu đãi khác của Chính phủ t</w:t>
      </w:r>
      <w:r>
        <w:rPr>
          <w:lang w:val="vi-VN"/>
        </w:rPr>
        <w:t xml:space="preserve">hực hiện các chương trình, dự án cho Thành phố theo quy định tại khoản 2 Điều này, trên cơ sở đề nghị của Thành phố, ý kiến của Bộ Kế hoạch và Đầu tư, Bộ Tài chính, Chính phủ cân đối trong dự toán ngân sách nhà nước hằng năm trình Quốc hội quyết định theo </w:t>
      </w:r>
      <w:r>
        <w:rPr>
          <w:lang w:val="vi-VN"/>
        </w:rPr>
        <w:t>quy định của Luật ngân sách nhà nước và Luật đầu tư công.</w:t>
      </w:r>
    </w:p>
    <w:p w14:paraId="3D725D7A" w14:textId="77777777" w:rsidR="00000000" w:rsidRDefault="007E18F6">
      <w:pPr>
        <w:spacing w:before="120" w:after="280" w:afterAutospacing="1"/>
      </w:pPr>
      <w:r>
        <w:rPr>
          <w:lang w:val="vi-VN"/>
        </w:rPr>
        <w:t>4. Ủy ban nhân dân thành phố Hà Nội được phê duyệt danh mục dự án, quyết định tiếp nhận các khoản viện trợ (ODA, phi Chính phủ nước ngoài) không hoàn lại đối với các chương trình, dự án không phụ th</w:t>
      </w:r>
      <w:r>
        <w:rPr>
          <w:lang w:val="vi-VN"/>
        </w:rPr>
        <w:t>uộc vào quy mô viện trợ, trừ các khoản viện trợ hỗ trợ kỹ thuật liên quan đến thể chế tôn giáo, chính sách pháp luật, cải cách hành chính, quốc phòng, an ninh do Thủ tướng Chính phủ quyết định, Ủy ban nhân dân thành phố chịu trách nhiệm thực hiện tiếp nhận</w:t>
      </w:r>
      <w:r>
        <w:rPr>
          <w:lang w:val="vi-VN"/>
        </w:rPr>
        <w:t>, quản lý, sử dụng có hiệu quả các khoản viện trợ này, thực hiện chế độ hạch toán quyết toán theo đúng quy định của pháp luật; định kỳ báo cáo Bộ Tài chính, Bộ Kế hoạch và Đầu tư để theo dõi, giám sát và tổng hợp báo cáo Thủ tướng Chính phủ.</w:t>
      </w:r>
    </w:p>
    <w:p w14:paraId="6778E77C" w14:textId="77777777" w:rsidR="00000000" w:rsidRDefault="007E18F6">
      <w:pPr>
        <w:spacing w:before="120" w:after="280" w:afterAutospacing="1"/>
      </w:pPr>
      <w:bookmarkStart w:id="19" w:name="dieu_9"/>
      <w:r>
        <w:rPr>
          <w:b/>
          <w:bCs/>
          <w:lang w:val="vi-VN"/>
        </w:rPr>
        <w:lastRenderedPageBreak/>
        <w:t>Điều 9. Nguyên</w:t>
      </w:r>
      <w:r>
        <w:rPr>
          <w:b/>
          <w:bCs/>
          <w:lang w:val="vi-VN"/>
        </w:rPr>
        <w:t xml:space="preserve"> tắc vay vốn đầu tư phát triển</w:t>
      </w:r>
      <w:bookmarkEnd w:id="19"/>
    </w:p>
    <w:p w14:paraId="24557BE8" w14:textId="77777777" w:rsidR="00000000" w:rsidRDefault="007E18F6">
      <w:pPr>
        <w:spacing w:before="120" w:after="280" w:afterAutospacing="1"/>
      </w:pPr>
      <w:r>
        <w:rPr>
          <w:lang w:val="vi-VN"/>
        </w:rPr>
        <w:t xml:space="preserve">1. Thành phố Hà Nội được vay vốn đầu tư trong nước thông qua các hình thức phát hành trái phiếu chính quyền địa phương, các hình thức huy động khác theo quy định của pháp luật; Thành phố có trách nhiệm thanh toán trả nợ gốc, </w:t>
      </w:r>
      <w:r>
        <w:rPr>
          <w:lang w:val="vi-VN"/>
        </w:rPr>
        <w:t>lãi và các chi phí liên quan bằng ngân sách của Thành phố.</w:t>
      </w:r>
    </w:p>
    <w:p w14:paraId="7E7F306B" w14:textId="77777777" w:rsidR="00000000" w:rsidRDefault="007E18F6">
      <w:pPr>
        <w:spacing w:before="120" w:after="280" w:afterAutospacing="1"/>
      </w:pPr>
      <w:r>
        <w:rPr>
          <w:lang w:val="vi-VN"/>
        </w:rPr>
        <w:t>2. Thành phố Hà Nội được vay lại vốn vay ngoài nước cho đầu tư phát triển kết cấu hạ tầng thuộc nhiệm vụ chi của ngân sách thành phố: Ủy ban nhân dân thành phố Hà Nội xây dựng phương án, lấy ý kiến</w:t>
      </w:r>
      <w:r>
        <w:rPr>
          <w:lang w:val="vi-VN"/>
        </w:rPr>
        <w:t xml:space="preserve"> Bộ Tài chính, Bộ Kế hoạch và Đầu tư, Ngân hàng Nhà nước Việt Nam, báo cáo Bộ Tài chính, Bộ Kế hoạch và Đầu tư trình Thủ tướng Chính phủ xem xét, quyết định theo cơ chế Chính phủ vay về cho Thành phố vay lại để thực hiện các chương trình, dự án theo đề ngh</w:t>
      </w:r>
      <w:r>
        <w:rPr>
          <w:lang w:val="vi-VN"/>
        </w:rPr>
        <w:t>ị của Ủy ban nhân dân thành phố. Thành phố có trách nhiệm b</w:t>
      </w:r>
      <w:r>
        <w:t>ố</w:t>
      </w:r>
      <w:r>
        <w:rPr>
          <w:lang w:val="vi-VN"/>
        </w:rPr>
        <w:t xml:space="preserve"> trí ngân sách thành phố để hoàn trả gốc, lãi theo quy định của pháp luật.</w:t>
      </w:r>
    </w:p>
    <w:p w14:paraId="70718176" w14:textId="77777777" w:rsidR="00000000" w:rsidRDefault="007E18F6">
      <w:pPr>
        <w:spacing w:before="120" w:after="280" w:afterAutospacing="1"/>
      </w:pPr>
      <w:r>
        <w:rPr>
          <w:lang w:val="vi-VN"/>
        </w:rPr>
        <w:t>3. Khi có nhu cầu vay vốn đầu tư, Ủy ban nhân dân thành phố lập phương án vay bù đắp bội chi ngân sách địa phương trình H</w:t>
      </w:r>
      <w:r>
        <w:rPr>
          <w:lang w:val="vi-VN"/>
        </w:rPr>
        <w:t>ội đồng nhân dân thành phố quyết định theo quy định của pháp luật.</w:t>
      </w:r>
    </w:p>
    <w:p w14:paraId="4D80912A" w14:textId="77777777" w:rsidR="00000000" w:rsidRDefault="007E18F6">
      <w:pPr>
        <w:spacing w:before="120" w:after="280" w:afterAutospacing="1"/>
      </w:pPr>
      <w:r>
        <w:rPr>
          <w:lang w:val="vi-VN"/>
        </w:rPr>
        <w:t>4. Vốn vay đầu tư cho các chương trình, dự án bảo đảm: Chương trình, dự án sử dụng vốn vay đầu tư phải bảo đảm hiệu quả kinh tế - xã hội; chương trình, dự án đầu tư thuộc kế hoạch đầu tư cô</w:t>
      </w:r>
      <w:r>
        <w:rPr>
          <w:lang w:val="vi-VN"/>
        </w:rPr>
        <w:t xml:space="preserve">ng trung hạn 5 năm đã được Hội đồng nhân dân thành phố quyết định; công trình, dự án đã có quyết định đầu tư của cấp có thẩm quyền. Thành phố phải bố trí ngân sách địa phương trả hết </w:t>
      </w:r>
      <w:r>
        <w:t xml:space="preserve">nợ </w:t>
      </w:r>
      <w:r>
        <w:rPr>
          <w:lang w:val="vi-VN"/>
        </w:rPr>
        <w:t>(gốc, lãi) kh</w:t>
      </w:r>
      <w:r>
        <w:t xml:space="preserve">i </w:t>
      </w:r>
      <w:r>
        <w:rPr>
          <w:lang w:val="vi-VN"/>
        </w:rPr>
        <w:t>đến hạn.</w:t>
      </w:r>
    </w:p>
    <w:p w14:paraId="584DD77E" w14:textId="77777777" w:rsidR="00000000" w:rsidRDefault="007E18F6">
      <w:pPr>
        <w:spacing w:before="120" w:after="280" w:afterAutospacing="1"/>
      </w:pPr>
      <w:bookmarkStart w:id="20" w:name="dieu_10"/>
      <w:r>
        <w:rPr>
          <w:b/>
          <w:bCs/>
          <w:lang w:val="vi-VN"/>
        </w:rPr>
        <w:t>Điều 10. Huy động nguồn vốn ngoài ngân sách nh</w:t>
      </w:r>
      <w:r>
        <w:rPr>
          <w:b/>
          <w:bCs/>
          <w:lang w:val="vi-VN"/>
        </w:rPr>
        <w:t>à nước</w:t>
      </w:r>
      <w:bookmarkEnd w:id="20"/>
    </w:p>
    <w:p w14:paraId="3D50D171" w14:textId="77777777" w:rsidR="00000000" w:rsidRDefault="007E18F6">
      <w:pPr>
        <w:spacing w:before="120" w:after="280" w:afterAutospacing="1"/>
      </w:pPr>
      <w:r>
        <w:rPr>
          <w:lang w:val="vi-VN"/>
        </w:rPr>
        <w:t>1. Ngoài nguồn vốn huy động cho các công trình, dự án thuộc đối tượng đầu tư từ nguồn vốn ngân sách theo quy định tại Điều 9 Nghị định này, đối với các dự án khác có khả năng thu hồi vốn hoặc các dự án chỉ có khả năng thu hồi một phần vốn đầu tư, Ủy</w:t>
      </w:r>
      <w:r>
        <w:rPr>
          <w:lang w:val="vi-VN"/>
        </w:rPr>
        <w:t xml:space="preserve"> ban nhân dân thành phố quyết định hoặc trình cơ quan có thẩm quyền quyết định theo quy định của pháp luật việc huy động đầu tư theo hình thức đ</w:t>
      </w:r>
      <w:r>
        <w:t>ố</w:t>
      </w:r>
      <w:r>
        <w:rPr>
          <w:lang w:val="vi-VN"/>
        </w:rPr>
        <w:t>i tác công tư (PPP), bao gồm: BOT (xây dựng - kinh doanh - chuyển giao), BTO (xây dựng - chuyển giao - kinh doa</w:t>
      </w:r>
      <w:r>
        <w:rPr>
          <w:lang w:val="vi-VN"/>
        </w:rPr>
        <w:t>nh), BT (xây dựng - chuyển giao), BOO (xây dựng - sở hữu - kinh doanh), BTL (xây dựng - chuyển giao - thuê dịch vụ), BLT (xây dựng - thuê dịch vụ - chuyển giao), O&amp;M (kinh doanh - quản lý).</w:t>
      </w:r>
    </w:p>
    <w:p w14:paraId="607FBFA1" w14:textId="77777777" w:rsidR="00000000" w:rsidRDefault="007E18F6">
      <w:pPr>
        <w:spacing w:before="120" w:after="280" w:afterAutospacing="1"/>
      </w:pPr>
      <w:r>
        <w:rPr>
          <w:lang w:val="vi-VN"/>
        </w:rPr>
        <w:t>2. Căn cứ vào khả năng cân đối ngân sách địa phương, Thành phố tha</w:t>
      </w:r>
      <w:r>
        <w:rPr>
          <w:lang w:val="vi-VN"/>
        </w:rPr>
        <w:t xml:space="preserve">m gia thực hiện các dự án </w:t>
      </w:r>
      <w:r>
        <w:t xml:space="preserve">PPP </w:t>
      </w:r>
      <w:r>
        <w:rPr>
          <w:lang w:val="vi-VN"/>
        </w:rPr>
        <w:t>theo các hoạt động: Góp vốn để hỗ trợ xây dựng công trình đối với dự án có hoạt động kinh doanh, thu phí từ người sử dụng, nhưng khoản thu không đủ để thu hồi vốn đầu tư và lợi nhuận; thanh toán cho nhà đầu tư cung cấp dịch vụ</w:t>
      </w:r>
      <w:r>
        <w:rPr>
          <w:lang w:val="vi-VN"/>
        </w:rPr>
        <w:t xml:space="preserve"> theo hợp đồng BTL, hợp đồng BLT; hỗ trợ xây dựng công trình phụ trợ, tổ chức bồi thường, giải phóng mặt bằng và tái định cư.</w:t>
      </w:r>
    </w:p>
    <w:p w14:paraId="1FE76CB1" w14:textId="77777777" w:rsidR="00000000" w:rsidRDefault="007E18F6">
      <w:pPr>
        <w:spacing w:before="120" w:after="280" w:afterAutospacing="1"/>
      </w:pPr>
      <w:bookmarkStart w:id="21" w:name="chuong_4"/>
      <w:r>
        <w:rPr>
          <w:b/>
          <w:bCs/>
          <w:lang w:val="vi-VN"/>
        </w:rPr>
        <w:t>Chương IV</w:t>
      </w:r>
      <w:bookmarkEnd w:id="21"/>
    </w:p>
    <w:p w14:paraId="0C4176AE" w14:textId="77777777" w:rsidR="00000000" w:rsidRDefault="007E18F6">
      <w:pPr>
        <w:spacing w:before="120" w:after="280" w:afterAutospacing="1"/>
        <w:jc w:val="center"/>
      </w:pPr>
      <w:bookmarkStart w:id="22" w:name="chuong_4_name"/>
      <w:r>
        <w:rPr>
          <w:b/>
          <w:bCs/>
          <w:lang w:val="vi-VN"/>
        </w:rPr>
        <w:t>ĐIỀU KHOẢN THI HÀNH</w:t>
      </w:r>
      <w:bookmarkEnd w:id="22"/>
    </w:p>
    <w:p w14:paraId="4672A36A" w14:textId="77777777" w:rsidR="00000000" w:rsidRDefault="007E18F6">
      <w:pPr>
        <w:spacing w:before="120" w:after="280" w:afterAutospacing="1"/>
      </w:pPr>
      <w:bookmarkStart w:id="23" w:name="dieu_11"/>
      <w:r>
        <w:rPr>
          <w:b/>
          <w:bCs/>
          <w:lang w:val="vi-VN"/>
        </w:rPr>
        <w:lastRenderedPageBreak/>
        <w:t>Điều 11. Hiệu lực thi hành</w:t>
      </w:r>
      <w:bookmarkEnd w:id="23"/>
    </w:p>
    <w:p w14:paraId="36F3E7CF" w14:textId="77777777" w:rsidR="00000000" w:rsidRDefault="007E18F6">
      <w:pPr>
        <w:spacing w:before="120" w:after="280" w:afterAutospacing="1"/>
      </w:pPr>
      <w:r>
        <w:rPr>
          <w:lang w:val="vi-VN"/>
        </w:rPr>
        <w:t>1. Nghị định này có hiệu lực thi hành từ ngày 05 tháng 7 năm 2017 và áp d</w:t>
      </w:r>
      <w:r>
        <w:rPr>
          <w:lang w:val="vi-VN"/>
        </w:rPr>
        <w:t>ụng từ năm ngân sách 2017.</w:t>
      </w:r>
    </w:p>
    <w:p w14:paraId="4610C2EC" w14:textId="77777777" w:rsidR="00000000" w:rsidRDefault="007E18F6">
      <w:pPr>
        <w:spacing w:before="120" w:after="280" w:afterAutospacing="1"/>
      </w:pPr>
      <w:r>
        <w:rPr>
          <w:lang w:val="vi-VN"/>
        </w:rPr>
        <w:t>2. Bãi bỏ Nghị định số 123/2004/NĐ-CP ngày 18 tháng 5 năm 2004 của Chính phủ quy định về một số cơ chế tài chính ngân sách đặc thù đối với Thủ đô Hà Nội và Nghị định số 112/2015/NĐ-CP ngày 03 tháng 11 năm 2015 của Chính phủ sửa đ</w:t>
      </w:r>
      <w:r>
        <w:rPr>
          <w:lang w:val="vi-VN"/>
        </w:rPr>
        <w:t xml:space="preserve">ổi, bổ sung </w:t>
      </w:r>
      <w:bookmarkStart w:id="24" w:name="dc_3"/>
      <w:r>
        <w:rPr>
          <w:lang w:val="vi-VN"/>
        </w:rPr>
        <w:t>Điều 5 Nghị định số 123/2004/NĐ-CP</w:t>
      </w:r>
      <w:bookmarkEnd w:id="24"/>
      <w:r>
        <w:rPr>
          <w:lang w:val="vi-VN"/>
        </w:rPr>
        <w:t xml:space="preserve"> ngày 18 tháng 5 năm 2004 của Chính phủ.</w:t>
      </w:r>
    </w:p>
    <w:p w14:paraId="0C129F98" w14:textId="77777777" w:rsidR="00000000" w:rsidRDefault="007E18F6">
      <w:pPr>
        <w:spacing w:before="120" w:after="280" w:afterAutospacing="1"/>
      </w:pPr>
      <w:bookmarkStart w:id="25" w:name="dieu_12"/>
      <w:r>
        <w:rPr>
          <w:b/>
          <w:bCs/>
          <w:lang w:val="vi-VN"/>
        </w:rPr>
        <w:t>Điều 12. Trách nhiệm thi hành</w:t>
      </w:r>
      <w:bookmarkEnd w:id="25"/>
    </w:p>
    <w:p w14:paraId="4181451D" w14:textId="77777777" w:rsidR="00000000" w:rsidRDefault="007E18F6">
      <w:pPr>
        <w:spacing w:before="120" w:after="280" w:afterAutospacing="1"/>
      </w:pPr>
      <w:r>
        <w:rPr>
          <w:lang w:val="vi-VN"/>
        </w:rPr>
        <w:t>1. Bộ trưởng Bộ Tài chính, Ủy ban nhân dân thành phố Hà Nội tổ chức thực hiện Nghị định này.</w:t>
      </w:r>
    </w:p>
    <w:p w14:paraId="17453A89" w14:textId="77777777" w:rsidR="00000000" w:rsidRDefault="007E18F6">
      <w:pPr>
        <w:spacing w:before="120" w:after="280" w:afterAutospacing="1"/>
      </w:pPr>
      <w:r>
        <w:rPr>
          <w:lang w:val="vi-VN"/>
        </w:rPr>
        <w:t>2. Các Bộ trưởng, Thủ trưởng cơ quan ngang bộ,</w:t>
      </w:r>
      <w:r>
        <w:rPr>
          <w:lang w:val="vi-VN"/>
        </w:rPr>
        <w:t xml:space="preserve"> cơ quan thuộc Chính phủ, c</w:t>
      </w:r>
      <w:r>
        <w:t xml:space="preserve">ơ </w:t>
      </w:r>
      <w:r>
        <w:rPr>
          <w:lang w:val="vi-VN"/>
        </w:rPr>
        <w:t>quan khác thuộc trung ương và Chủ tịch Ủy ban nhân dân thành phố Hà Nội chịu trách nhiệm thi hành Nghị định này.</w:t>
      </w:r>
      <w:r>
        <w:t>/.</w:t>
      </w:r>
    </w:p>
    <w:p w14:paraId="55E35ACE" w14:textId="77777777" w:rsidR="00000000" w:rsidRDefault="007E18F6">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908"/>
        <w:gridCol w:w="3948"/>
      </w:tblGrid>
      <w:tr w:rsidR="00000000" w14:paraId="0BD8AA89" w14:textId="77777777">
        <w:tc>
          <w:tcPr>
            <w:tcW w:w="4908" w:type="dxa"/>
            <w:tcBorders>
              <w:top w:val="nil"/>
              <w:left w:val="nil"/>
              <w:bottom w:val="nil"/>
              <w:right w:val="nil"/>
              <w:tl2br w:val="nil"/>
              <w:tr2bl w:val="nil"/>
            </w:tcBorders>
            <w:shd w:val="clear" w:color="auto" w:fill="auto"/>
            <w:tcMar>
              <w:top w:w="0" w:type="dxa"/>
              <w:left w:w="108" w:type="dxa"/>
              <w:bottom w:w="0" w:type="dxa"/>
              <w:right w:w="108" w:type="dxa"/>
            </w:tcMar>
          </w:tcPr>
          <w:p w14:paraId="0E1F8427" w14:textId="77777777" w:rsidR="00000000" w:rsidRDefault="007E18F6">
            <w:pPr>
              <w:spacing w:before="120"/>
            </w:pPr>
            <w:r>
              <w:rPr>
                <w:b/>
                <w:bCs/>
                <w:i/>
                <w:iCs/>
                <w:lang w:val="vi-VN"/>
              </w:rPr>
              <w:br/>
              <w:t>Nơi nhận:</w:t>
            </w:r>
            <w:r>
              <w:rPr>
                <w:b/>
                <w:bCs/>
                <w:i/>
                <w:iCs/>
                <w:lang w:val="vi-VN"/>
              </w:rPr>
              <w:br/>
            </w:r>
            <w:r>
              <w:rPr>
                <w:sz w:val="16"/>
                <w:lang w:val="vi-VN"/>
              </w:rPr>
              <w:t>- Ban Bí thư Trung ương Đảng;</w:t>
            </w:r>
            <w:r>
              <w:rPr>
                <w:sz w:val="16"/>
                <w:lang w:val="vi-VN"/>
              </w:rPr>
              <w:br/>
              <w:t>- Thủ tướng, các Phó Thủ tướng Chính phủ;</w:t>
            </w:r>
            <w:r>
              <w:rPr>
                <w:sz w:val="16"/>
                <w:lang w:val="vi-VN"/>
              </w:rPr>
              <w:br/>
              <w:t>- Các bộ, cơ quan ngang bộ,</w:t>
            </w:r>
            <w:r>
              <w:rPr>
                <w:sz w:val="16"/>
                <w:lang w:val="vi-VN"/>
              </w:rPr>
              <w:t xml:space="preserve"> cơ quan thuộc Chính phủ;</w:t>
            </w:r>
            <w:r>
              <w:rPr>
                <w:sz w:val="16"/>
                <w:lang w:val="vi-VN"/>
              </w:rPr>
              <w:br/>
              <w:t>- HĐND, UBND các tỉnh, thành phố trực thuộc trung ương;</w:t>
            </w:r>
            <w:r>
              <w:rPr>
                <w:sz w:val="16"/>
                <w:lang w:val="vi-VN"/>
              </w:rPr>
              <w:br/>
              <w:t>- Văn phòng Trung ương và các Ban của Đảng;</w:t>
            </w:r>
            <w:r>
              <w:rPr>
                <w:sz w:val="16"/>
                <w:lang w:val="vi-VN"/>
              </w:rPr>
              <w:br/>
              <w:t>- Văn phòng Tổng Bí thư;</w:t>
            </w:r>
            <w:r>
              <w:rPr>
                <w:sz w:val="16"/>
                <w:lang w:val="vi-VN"/>
              </w:rPr>
              <w:br/>
              <w:t>- Văn phòng Chủ tịch nước;</w:t>
            </w:r>
            <w:r>
              <w:rPr>
                <w:sz w:val="16"/>
                <w:lang w:val="vi-VN"/>
              </w:rPr>
              <w:br/>
              <w:t>- Hội đồng dân tộc và các Ủy ban của Quốc hội;</w:t>
            </w:r>
            <w:r>
              <w:rPr>
                <w:sz w:val="16"/>
                <w:lang w:val="vi-VN"/>
              </w:rPr>
              <w:br/>
              <w:t>- Văn phòng Quốc hội;</w:t>
            </w:r>
            <w:r>
              <w:rPr>
                <w:sz w:val="16"/>
                <w:lang w:val="vi-VN"/>
              </w:rPr>
              <w:br/>
              <w:t xml:space="preserve">- Tòa án </w:t>
            </w:r>
            <w:r>
              <w:rPr>
                <w:sz w:val="16"/>
                <w:lang w:val="vi-VN"/>
              </w:rPr>
              <w:t>nhân dân tối cao;</w:t>
            </w:r>
            <w:r>
              <w:rPr>
                <w:sz w:val="16"/>
                <w:lang w:val="vi-VN"/>
              </w:rPr>
              <w:br/>
              <w:t>- Viện kiểm sát nhân dân tối cao;</w:t>
            </w:r>
            <w:r>
              <w:rPr>
                <w:sz w:val="16"/>
                <w:lang w:val="vi-VN"/>
              </w:rPr>
              <w:br/>
              <w:t>- Kiểm toán nhà nước;</w:t>
            </w:r>
            <w:r>
              <w:rPr>
                <w:sz w:val="16"/>
                <w:lang w:val="vi-VN"/>
              </w:rPr>
              <w:br/>
              <w:t>- Ủy ban Giám sát tài chính Quốc gia;</w:t>
            </w:r>
            <w:r>
              <w:rPr>
                <w:sz w:val="16"/>
                <w:lang w:val="vi-VN"/>
              </w:rPr>
              <w:br/>
              <w:t>- Ngân hàng Chính sách xã hội;</w:t>
            </w:r>
            <w:r>
              <w:rPr>
                <w:sz w:val="16"/>
                <w:lang w:val="vi-VN"/>
              </w:rPr>
              <w:br/>
              <w:t>- Ngân hàng Phát triển Việt Nam;</w:t>
            </w:r>
            <w:r>
              <w:rPr>
                <w:sz w:val="16"/>
                <w:lang w:val="vi-VN"/>
              </w:rPr>
              <w:br/>
              <w:t>- Ủy ban trung ương Mặt trận Tổ quốc Việt Nam;</w:t>
            </w:r>
            <w:r>
              <w:rPr>
                <w:sz w:val="16"/>
                <w:lang w:val="vi-VN"/>
              </w:rPr>
              <w:br/>
              <w:t>- Cơ quan trung ương của các đoàn</w:t>
            </w:r>
            <w:r>
              <w:rPr>
                <w:sz w:val="16"/>
                <w:lang w:val="vi-VN"/>
              </w:rPr>
              <w:t xml:space="preserve"> thể;</w:t>
            </w:r>
            <w:r>
              <w:rPr>
                <w:sz w:val="16"/>
                <w:lang w:val="vi-VN"/>
              </w:rPr>
              <w:br/>
              <w:t xml:space="preserve">- VPCP: BTCN, các PCN, Trợ lý TTg, TGĐ </w:t>
            </w:r>
            <w:r>
              <w:rPr>
                <w:sz w:val="16"/>
              </w:rPr>
              <w:t>C</w:t>
            </w:r>
            <w:r>
              <w:rPr>
                <w:sz w:val="16"/>
                <w:lang w:val="vi-VN"/>
              </w:rPr>
              <w:t>ổng TTĐT, các Vụ, Cục, đơn vị trực thuộc, Công báo;</w:t>
            </w:r>
            <w:r>
              <w:rPr>
                <w:sz w:val="16"/>
                <w:lang w:val="vi-VN"/>
              </w:rPr>
              <w:br/>
              <w:t>- Lưu: VT, KTTH (3).</w:t>
            </w:r>
          </w:p>
        </w:tc>
        <w:tc>
          <w:tcPr>
            <w:tcW w:w="3948" w:type="dxa"/>
            <w:tcBorders>
              <w:top w:val="nil"/>
              <w:left w:val="nil"/>
              <w:bottom w:val="nil"/>
              <w:right w:val="nil"/>
              <w:tl2br w:val="nil"/>
              <w:tr2bl w:val="nil"/>
            </w:tcBorders>
            <w:shd w:val="clear" w:color="auto" w:fill="auto"/>
            <w:tcMar>
              <w:top w:w="0" w:type="dxa"/>
              <w:left w:w="108" w:type="dxa"/>
              <w:bottom w:w="0" w:type="dxa"/>
              <w:right w:w="108" w:type="dxa"/>
            </w:tcMar>
          </w:tcPr>
          <w:p w14:paraId="6A1D948C" w14:textId="77777777" w:rsidR="00000000" w:rsidRDefault="007E18F6">
            <w:pPr>
              <w:spacing w:before="120"/>
              <w:jc w:val="center"/>
            </w:pPr>
            <w:r>
              <w:rPr>
                <w:b/>
                <w:bCs/>
                <w:lang w:val="vi-VN"/>
              </w:rPr>
              <w:t>TM. CHÍNH PHỦ</w:t>
            </w:r>
            <w:r>
              <w:rPr>
                <w:b/>
                <w:bCs/>
                <w:lang w:val="vi-VN"/>
              </w:rPr>
              <w:br/>
              <w:t>THỦ TƯỚNG</w:t>
            </w:r>
            <w:r>
              <w:rPr>
                <w:b/>
                <w:bCs/>
                <w:lang w:val="vi-VN"/>
              </w:rPr>
              <w:br/>
            </w:r>
            <w:r>
              <w:rPr>
                <w:b/>
                <w:bCs/>
                <w:lang w:val="vi-VN"/>
              </w:rPr>
              <w:br/>
            </w:r>
            <w:r>
              <w:rPr>
                <w:b/>
                <w:bCs/>
                <w:lang w:val="vi-VN"/>
              </w:rPr>
              <w:br/>
            </w:r>
            <w:r>
              <w:rPr>
                <w:b/>
                <w:bCs/>
                <w:lang w:val="vi-VN"/>
              </w:rPr>
              <w:br/>
            </w:r>
            <w:r>
              <w:rPr>
                <w:b/>
                <w:bCs/>
                <w:lang w:val="vi-VN"/>
              </w:rPr>
              <w:br/>
              <w:t>Nguyễn Xuân Phúc</w:t>
            </w:r>
          </w:p>
        </w:tc>
      </w:tr>
    </w:tbl>
    <w:p w14:paraId="1212FDEC" w14:textId="77777777" w:rsidR="00000000" w:rsidRDefault="007E18F6">
      <w:pPr>
        <w:spacing w:before="120" w:after="280" w:afterAutospacing="1"/>
      </w:pPr>
      <w:r>
        <w:t> </w:t>
      </w:r>
    </w:p>
    <w:p w14:paraId="7DA40A64" w14:textId="77777777" w:rsidR="007E18F6" w:rsidRDefault="007E18F6">
      <w:pPr>
        <w:spacing w:before="120" w:after="280" w:afterAutospacing="1"/>
      </w:pPr>
      <w:r>
        <w:t> </w:t>
      </w:r>
    </w:p>
    <w:sectPr w:rsidR="007E18F6">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4747"/>
    <w:rsid w:val="004D4747"/>
    <w:rsid w:val="007E18F6"/>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30137CE"/>
  <w15:chartTrackingRefBased/>
  <w15:docId w15:val="{B424EADE-6FB7-4AAD-911D-6D84937B9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2088</Words>
  <Characters>11905</Characters>
  <Application>Microsoft Office Word</Application>
  <DocSecurity>0</DocSecurity>
  <Lines>99</Lines>
  <Paragraphs>27</Paragraphs>
  <ScaleCrop>false</ScaleCrop>
  <Company/>
  <LinksUpToDate>false</LinksUpToDate>
  <CharactersWithSpaces>13966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cp:lastPrinted>1601-01-01T00:00:00Z</cp:lastPrinted>
  <dcterms:created xsi:type="dcterms:W3CDTF">2022-08-02T02:56:00Z</dcterms:created>
  <dcterms:modified xsi:type="dcterms:W3CDTF">2022-08-02T02:56:00Z</dcterms:modified>
</cp:coreProperties>
</file>