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C83EF8" w:rsidRPr="00C83EF8" w:rsidTr="00C83EF8">
        <w:tc>
          <w:tcPr>
            <w:tcW w:w="1850" w:type="pct"/>
            <w:tcMar>
              <w:top w:w="0" w:type="dxa"/>
              <w:left w:w="108" w:type="dxa"/>
              <w:bottom w:w="0" w:type="dxa"/>
              <w:right w:w="108" w:type="dxa"/>
            </w:tcMar>
            <w:hideMark/>
          </w:tcPr>
          <w:p w:rsidR="00C83EF8" w:rsidRPr="00C83EF8" w:rsidRDefault="00C83EF8" w:rsidP="00C83EF8">
            <w:pPr>
              <w:spacing w:before="120" w:after="100" w:afterAutospacing="1" w:line="240" w:lineRule="auto"/>
              <w:jc w:val="center"/>
              <w:rPr>
                <w:rFonts w:eastAsia="Times New Roman" w:cs="Times New Roman"/>
                <w:color w:val="000000"/>
                <w:sz w:val="21"/>
                <w:szCs w:val="21"/>
              </w:rPr>
            </w:pPr>
            <w:r w:rsidRPr="00C83EF8">
              <w:rPr>
                <w:rFonts w:eastAsia="Times New Roman" w:cs="Times New Roman"/>
                <w:b/>
                <w:bCs/>
                <w:color w:val="000000"/>
                <w:sz w:val="21"/>
                <w:szCs w:val="21"/>
              </w:rPr>
              <w:t>ỦY BAN NHÂN DÂN</w:t>
            </w:r>
            <w:r w:rsidRPr="00C83EF8">
              <w:rPr>
                <w:rFonts w:eastAsia="Times New Roman" w:cs="Times New Roman"/>
                <w:b/>
                <w:bCs/>
                <w:color w:val="000000"/>
                <w:sz w:val="21"/>
                <w:szCs w:val="21"/>
              </w:rPr>
              <w:br/>
              <w:t>TỈNH LAI CHÂU</w:t>
            </w:r>
            <w:r w:rsidRPr="00C83EF8">
              <w:rPr>
                <w:rFonts w:eastAsia="Times New Roman" w:cs="Times New Roman"/>
                <w:b/>
                <w:bCs/>
                <w:color w:val="000000"/>
                <w:sz w:val="21"/>
                <w:szCs w:val="21"/>
              </w:rPr>
              <w:br/>
              <w:t>-------</w:t>
            </w:r>
          </w:p>
        </w:tc>
        <w:tc>
          <w:tcPr>
            <w:tcW w:w="3100" w:type="pct"/>
            <w:tcMar>
              <w:top w:w="0" w:type="dxa"/>
              <w:left w:w="108" w:type="dxa"/>
              <w:bottom w:w="0" w:type="dxa"/>
              <w:right w:w="108" w:type="dxa"/>
            </w:tcMar>
            <w:hideMark/>
          </w:tcPr>
          <w:p w:rsidR="00C83EF8" w:rsidRPr="00C83EF8" w:rsidRDefault="00C83EF8" w:rsidP="00C83EF8">
            <w:pPr>
              <w:spacing w:before="120" w:after="100" w:afterAutospacing="1" w:line="240" w:lineRule="auto"/>
              <w:jc w:val="center"/>
              <w:rPr>
                <w:rFonts w:eastAsia="Times New Roman" w:cs="Times New Roman"/>
                <w:color w:val="000000"/>
                <w:sz w:val="21"/>
                <w:szCs w:val="21"/>
              </w:rPr>
            </w:pPr>
            <w:r w:rsidRPr="00C83EF8">
              <w:rPr>
                <w:rFonts w:eastAsia="Times New Roman" w:cs="Times New Roman"/>
                <w:b/>
                <w:bCs/>
                <w:color w:val="000000"/>
                <w:sz w:val="21"/>
                <w:szCs w:val="21"/>
              </w:rPr>
              <w:t>CỘNG HÒA XÃ HỘI CHỦ NGHĨA VIỆT NAM</w:t>
            </w:r>
            <w:r w:rsidRPr="00C83EF8">
              <w:rPr>
                <w:rFonts w:eastAsia="Times New Roman" w:cs="Times New Roman"/>
                <w:b/>
                <w:bCs/>
                <w:color w:val="000000"/>
                <w:sz w:val="21"/>
                <w:szCs w:val="21"/>
              </w:rPr>
              <w:br/>
              <w:t>Độc lập - Tự do - Hạnh phúc</w:t>
            </w:r>
            <w:r w:rsidRPr="00C83EF8">
              <w:rPr>
                <w:rFonts w:eastAsia="Times New Roman" w:cs="Times New Roman"/>
                <w:b/>
                <w:bCs/>
                <w:color w:val="000000"/>
                <w:sz w:val="21"/>
                <w:szCs w:val="21"/>
              </w:rPr>
              <w:br/>
              <w:t>---------------</w:t>
            </w:r>
          </w:p>
        </w:tc>
      </w:tr>
      <w:tr w:rsidR="00C83EF8" w:rsidRPr="00C83EF8" w:rsidTr="00C83EF8">
        <w:tc>
          <w:tcPr>
            <w:tcW w:w="1850" w:type="pct"/>
            <w:tcMar>
              <w:top w:w="0" w:type="dxa"/>
              <w:left w:w="108" w:type="dxa"/>
              <w:bottom w:w="0" w:type="dxa"/>
              <w:right w:w="108" w:type="dxa"/>
            </w:tcMar>
            <w:hideMark/>
          </w:tcPr>
          <w:p w:rsidR="00C83EF8" w:rsidRPr="00C83EF8" w:rsidRDefault="00C83EF8" w:rsidP="00C83EF8">
            <w:pPr>
              <w:spacing w:before="120" w:after="100" w:afterAutospacing="1" w:line="240" w:lineRule="auto"/>
              <w:jc w:val="center"/>
              <w:rPr>
                <w:rFonts w:eastAsia="Times New Roman" w:cs="Times New Roman"/>
                <w:color w:val="000000"/>
                <w:sz w:val="21"/>
                <w:szCs w:val="21"/>
              </w:rPr>
            </w:pPr>
            <w:r w:rsidRPr="00C83EF8">
              <w:rPr>
                <w:rFonts w:eastAsia="Times New Roman" w:cs="Times New Roman"/>
                <w:color w:val="000000"/>
                <w:sz w:val="21"/>
                <w:szCs w:val="21"/>
              </w:rPr>
              <w:t xml:space="preserve">Số: </w:t>
            </w:r>
            <w:bookmarkStart w:id="0" w:name="_GoBack"/>
            <w:r w:rsidRPr="00C83EF8">
              <w:rPr>
                <w:rFonts w:eastAsia="Times New Roman" w:cs="Times New Roman"/>
                <w:color w:val="000000"/>
                <w:sz w:val="21"/>
                <w:szCs w:val="21"/>
              </w:rPr>
              <w:t>1005/QĐ-UBND</w:t>
            </w:r>
            <w:bookmarkEnd w:id="0"/>
          </w:p>
        </w:tc>
        <w:tc>
          <w:tcPr>
            <w:tcW w:w="3100" w:type="pct"/>
            <w:tcMar>
              <w:top w:w="0" w:type="dxa"/>
              <w:left w:w="108" w:type="dxa"/>
              <w:bottom w:w="0" w:type="dxa"/>
              <w:right w:w="108" w:type="dxa"/>
            </w:tcMar>
            <w:hideMark/>
          </w:tcPr>
          <w:p w:rsidR="00C83EF8" w:rsidRPr="00C83EF8" w:rsidRDefault="00C83EF8" w:rsidP="00C83EF8">
            <w:pPr>
              <w:spacing w:before="120" w:after="100" w:afterAutospacing="1" w:line="240" w:lineRule="auto"/>
              <w:jc w:val="right"/>
              <w:rPr>
                <w:rFonts w:eastAsia="Times New Roman" w:cs="Times New Roman"/>
                <w:color w:val="000000"/>
                <w:sz w:val="21"/>
                <w:szCs w:val="21"/>
              </w:rPr>
            </w:pPr>
            <w:r w:rsidRPr="00C83EF8">
              <w:rPr>
                <w:rFonts w:eastAsia="Times New Roman" w:cs="Times New Roman"/>
                <w:i/>
                <w:iCs/>
                <w:color w:val="000000"/>
                <w:sz w:val="21"/>
                <w:szCs w:val="21"/>
              </w:rPr>
              <w:t>Lai Châu, ngày 13 tháng 7 năm 2023</w:t>
            </w:r>
          </w:p>
        </w:tc>
      </w:tr>
    </w:tbl>
    <w:p w:rsidR="00C83EF8" w:rsidRPr="00C83EF8" w:rsidRDefault="00C83EF8" w:rsidP="00C83EF8">
      <w:pPr>
        <w:spacing w:before="120" w:after="100" w:afterAutospacing="1" w:line="240" w:lineRule="auto"/>
        <w:rPr>
          <w:rFonts w:eastAsia="Times New Roman" w:cs="Times New Roman"/>
          <w:color w:val="000000"/>
          <w:sz w:val="21"/>
          <w:szCs w:val="21"/>
        </w:rPr>
      </w:pP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b/>
          <w:bCs/>
          <w:color w:val="000000"/>
          <w:szCs w:val="26"/>
        </w:rPr>
        <w:t>QUYẾT ĐỊNH</w:t>
      </w: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color w:val="000000"/>
          <w:szCs w:val="26"/>
        </w:rPr>
        <w:t>VỀ VIỆC THÔNG QUA PHƯƠNG ÁN ĐƠN GIẢN HÓA THỦ TỤC HÀNH CHÍNH THUỘC PHẠM VI, CHỨC NĂNG QUẢN LÝ CỦA SỞ GIÁO DỤC VÀ ĐÀO TẠO TỈNH LAI CHÂU</w:t>
      </w: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b/>
          <w:bCs/>
          <w:color w:val="000000"/>
          <w:szCs w:val="26"/>
        </w:rPr>
        <w:t>CHỦ TỊCH ỦY BAN NHÂN DÂN TỈNH LAI CHÂU</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i/>
          <w:iCs/>
          <w:color w:val="000000"/>
          <w:szCs w:val="26"/>
        </w:rPr>
        <w:t>Căn cứ Luật Tổ chức chính quyền địa phương ngày 19/6/2015; Luật sửa đổi, bổ sung một số điều của Luật Tổ chức Chính phủ và Luật Tổ chức chính quyền địa phương ngày 22/11/2019;</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i/>
          <w:iCs/>
          <w:color w:val="000000"/>
          <w:szCs w:val="26"/>
        </w:rPr>
        <w:t>Căn cứ Nghị định số 63/2010/NĐ-CP ngày 08/6/2010 của Chính phủ về kiểm soát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i/>
          <w:iCs/>
          <w:color w:val="000000"/>
          <w:szCs w:val="26"/>
        </w:rPr>
        <w:t>Căn cứ Nghị định số 92/2017/NĐ-CP ngày 07/8/2017 của Chính phủ về sửa đổi, bổ sung một số điều của Nghị định liên quan đến kiểm soát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i/>
          <w:iCs/>
          <w:color w:val="000000"/>
          <w:szCs w:val="26"/>
        </w:rPr>
        <w:t>Căn cứ Thông tư số 02/2017/TT-VPCP ngày 31/10/2017 của Bộ trưởng, Chủ nhiệm Văn phòng Chính phủ hướng dẫn nghiệp vụ về kiểm soát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i/>
          <w:iCs/>
          <w:color w:val="000000"/>
          <w:szCs w:val="26"/>
        </w:rPr>
        <w:t>Theo đề nghị của Giám đốc Sở Giáo dục và Đào tạo tỉnh Lai Châu tại Tờ trình số 1535/TTr-SGDĐT ngày 11/7/2023.</w:t>
      </w: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b/>
          <w:bCs/>
          <w:color w:val="000000"/>
          <w:szCs w:val="26"/>
        </w:rPr>
        <w:t>QUYẾT ĐỊNH: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Điều 1.</w:t>
      </w:r>
      <w:r w:rsidRPr="00C83EF8">
        <w:rPr>
          <w:rFonts w:eastAsia="Times New Roman" w:cs="Times New Roman"/>
          <w:color w:val="000000"/>
          <w:szCs w:val="26"/>
        </w:rPr>
        <w:t> Thông qua phương án đơn giản hóa đối với 03 thủ tục hành chính thuộc phạm vi, chức năng quản lý của Sở Giáo dục và Đào tạo tỉnh Lai Châu.</w:t>
      </w: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i/>
          <w:iCs/>
          <w:color w:val="000000"/>
          <w:szCs w:val="26"/>
        </w:rPr>
        <w:t> (Có Phương án đơn giản hóa chi tiết kèm theo).</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Điều 2.</w:t>
      </w:r>
      <w:r w:rsidRPr="00C83EF8">
        <w:rPr>
          <w:rFonts w:eastAsia="Times New Roman" w:cs="Times New Roman"/>
          <w:color w:val="000000"/>
          <w:szCs w:val="26"/>
        </w:rPr>
        <w:t> Giao các sở, ban, ngành có liên quan:</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1. Sở Giáo dục và Đào tạo chủ trì, phối hợp với UBND các huyện, thành phố dự thảo văn bản thực thi phương án đơn giản hóa thủ tục hành chính thuộc thẩm quyền quyết định của Ủy ban nhân dân tỉnh.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2. Văn phòng UBND tỉnh có trách nhiệm kiểm tra, đôn đốc các sở, ban, ngành liên quan thực hiện Quyết định này.</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Điều 3.</w:t>
      </w:r>
      <w:r w:rsidRPr="00C83EF8">
        <w:rPr>
          <w:rFonts w:eastAsia="Times New Roman" w:cs="Times New Roman"/>
          <w:color w:val="000000"/>
          <w:szCs w:val="26"/>
        </w:rPr>
        <w:t> Quyết định này có hiệu lực thi hành kể từ ngày ký.</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lastRenderedPageBreak/>
        <w:t>Chánh Văn phòng UBND tỉnh, Giám đốc Sở Giáo dục và Đào tạo; Chủ tịch UBND các huyện, thành phố; Thủ trưởng cơ quan, tổ chức, cá nhân có liên quan chịu trách nhiệm thi hành Quyết định này./.</w:t>
      </w:r>
    </w:p>
    <w:p w:rsidR="00C83EF8" w:rsidRPr="00C83EF8" w:rsidRDefault="00C83EF8" w:rsidP="00C83EF8">
      <w:pPr>
        <w:spacing w:before="120" w:after="100" w:afterAutospacing="1" w:line="240" w:lineRule="auto"/>
        <w:rPr>
          <w:rFonts w:eastAsia="Times New Roman" w:cs="Times New Roman"/>
          <w:color w:val="000000"/>
          <w:sz w:val="21"/>
          <w:szCs w:val="21"/>
        </w:rPr>
      </w:pPr>
    </w:p>
    <w:tbl>
      <w:tblPr>
        <w:tblW w:w="5000" w:type="pct"/>
        <w:tblCellMar>
          <w:left w:w="0" w:type="dxa"/>
          <w:right w:w="0" w:type="dxa"/>
        </w:tblCellMar>
        <w:tblLook w:val="04A0" w:firstRow="1" w:lastRow="0" w:firstColumn="1" w:lastColumn="0" w:noHBand="0" w:noVBand="1"/>
      </w:tblPr>
      <w:tblGrid>
        <w:gridCol w:w="4535"/>
        <w:gridCol w:w="4536"/>
      </w:tblGrid>
      <w:tr w:rsidR="00C83EF8" w:rsidRPr="00C83EF8" w:rsidTr="00C83EF8">
        <w:tc>
          <w:tcPr>
            <w:tcW w:w="2500" w:type="pct"/>
            <w:tcMar>
              <w:top w:w="0" w:type="dxa"/>
              <w:left w:w="108" w:type="dxa"/>
              <w:bottom w:w="0" w:type="dxa"/>
              <w:right w:w="108" w:type="dxa"/>
            </w:tcMar>
            <w:hideMark/>
          </w:tcPr>
          <w:p w:rsidR="00C83EF8" w:rsidRPr="00C83EF8" w:rsidRDefault="00C83EF8" w:rsidP="00C83EF8">
            <w:pPr>
              <w:spacing w:before="120" w:after="100" w:afterAutospacing="1" w:line="240" w:lineRule="auto"/>
              <w:rPr>
                <w:rFonts w:eastAsia="Times New Roman" w:cs="Times New Roman"/>
                <w:color w:val="000000"/>
                <w:sz w:val="21"/>
                <w:szCs w:val="21"/>
              </w:rPr>
            </w:pPr>
          </w:p>
          <w:p w:rsidR="00C83EF8" w:rsidRPr="00C83EF8" w:rsidRDefault="00C83EF8" w:rsidP="00C83EF8">
            <w:pPr>
              <w:spacing w:before="120" w:after="100" w:afterAutospacing="1" w:line="240" w:lineRule="auto"/>
              <w:rPr>
                <w:rFonts w:eastAsia="Times New Roman" w:cs="Times New Roman"/>
                <w:color w:val="000000"/>
                <w:sz w:val="21"/>
                <w:szCs w:val="21"/>
              </w:rPr>
            </w:pPr>
            <w:r w:rsidRPr="00C83EF8">
              <w:rPr>
                <w:rFonts w:eastAsia="Times New Roman" w:cs="Times New Roman"/>
                <w:b/>
                <w:bCs/>
                <w:i/>
                <w:iCs/>
                <w:color w:val="000000"/>
                <w:sz w:val="21"/>
                <w:szCs w:val="21"/>
              </w:rPr>
              <w:t>Nơi nhận:</w:t>
            </w:r>
            <w:r w:rsidRPr="00C83EF8">
              <w:rPr>
                <w:rFonts w:eastAsia="Times New Roman" w:cs="Times New Roman"/>
                <w:b/>
                <w:bCs/>
                <w:i/>
                <w:iCs/>
                <w:color w:val="000000"/>
                <w:sz w:val="21"/>
                <w:szCs w:val="21"/>
              </w:rPr>
              <w:br/>
            </w:r>
            <w:r w:rsidRPr="00C83EF8">
              <w:rPr>
                <w:rFonts w:eastAsia="Times New Roman" w:cs="Times New Roman"/>
                <w:color w:val="000000"/>
                <w:sz w:val="16"/>
                <w:szCs w:val="16"/>
              </w:rPr>
              <w:t>- Như Điều 3;</w:t>
            </w:r>
            <w:r w:rsidRPr="00C83EF8">
              <w:rPr>
                <w:rFonts w:eastAsia="Times New Roman" w:cs="Times New Roman"/>
                <w:color w:val="000000"/>
                <w:sz w:val="16"/>
                <w:szCs w:val="16"/>
              </w:rPr>
              <w:br/>
              <w:t>- Cục KSTTHC - Văn phòng Chính phủ;</w:t>
            </w:r>
            <w:r w:rsidRPr="00C83EF8">
              <w:rPr>
                <w:rFonts w:eastAsia="Times New Roman" w:cs="Times New Roman"/>
                <w:color w:val="000000"/>
                <w:sz w:val="16"/>
                <w:szCs w:val="16"/>
              </w:rPr>
              <w:br/>
              <w:t>- Chủ tịch, các Phó chủ tịch UBND tỉnh;</w:t>
            </w:r>
            <w:r w:rsidRPr="00C83EF8">
              <w:rPr>
                <w:rFonts w:eastAsia="Times New Roman" w:cs="Times New Roman"/>
                <w:color w:val="000000"/>
                <w:sz w:val="16"/>
                <w:szCs w:val="16"/>
              </w:rPr>
              <w:br/>
              <w:t>- V: V1, V4, CB;</w:t>
            </w:r>
            <w:r w:rsidRPr="00C83EF8">
              <w:rPr>
                <w:rFonts w:eastAsia="Times New Roman" w:cs="Times New Roman"/>
                <w:color w:val="000000"/>
                <w:sz w:val="16"/>
                <w:szCs w:val="16"/>
              </w:rPr>
              <w:br/>
              <w:t>- Lưu: VT, KS.</w:t>
            </w:r>
          </w:p>
        </w:tc>
        <w:tc>
          <w:tcPr>
            <w:tcW w:w="2500" w:type="pct"/>
            <w:tcMar>
              <w:top w:w="0" w:type="dxa"/>
              <w:left w:w="108" w:type="dxa"/>
              <w:bottom w:w="0" w:type="dxa"/>
              <w:right w:w="108" w:type="dxa"/>
            </w:tcMar>
            <w:hideMark/>
          </w:tcPr>
          <w:p w:rsidR="00C83EF8" w:rsidRPr="00C83EF8" w:rsidRDefault="00C83EF8" w:rsidP="00C83EF8">
            <w:pPr>
              <w:spacing w:before="120" w:after="100" w:afterAutospacing="1" w:line="240" w:lineRule="auto"/>
              <w:jc w:val="center"/>
              <w:rPr>
                <w:rFonts w:eastAsia="Times New Roman" w:cs="Times New Roman"/>
                <w:color w:val="000000"/>
                <w:sz w:val="21"/>
                <w:szCs w:val="21"/>
              </w:rPr>
            </w:pPr>
            <w:r w:rsidRPr="00C83EF8">
              <w:rPr>
                <w:rFonts w:eastAsia="Times New Roman" w:cs="Times New Roman"/>
                <w:b/>
                <w:bCs/>
                <w:color w:val="000000"/>
                <w:sz w:val="21"/>
                <w:szCs w:val="21"/>
              </w:rPr>
              <w:t>KT. CHỦ TỊCH</w:t>
            </w:r>
            <w:r w:rsidRPr="00C83EF8">
              <w:rPr>
                <w:rFonts w:eastAsia="Times New Roman" w:cs="Times New Roman"/>
                <w:b/>
                <w:bCs/>
                <w:color w:val="000000"/>
                <w:sz w:val="21"/>
                <w:szCs w:val="21"/>
              </w:rPr>
              <w:br/>
              <w:t>PHÓ CHỦ TỊCH</w:t>
            </w:r>
            <w:r w:rsidRPr="00C83EF8">
              <w:rPr>
                <w:rFonts w:eastAsia="Times New Roman" w:cs="Times New Roman"/>
                <w:b/>
                <w:bCs/>
                <w:color w:val="000000"/>
                <w:sz w:val="21"/>
                <w:szCs w:val="21"/>
              </w:rPr>
              <w:br/>
            </w:r>
            <w:r w:rsidRPr="00C83EF8">
              <w:rPr>
                <w:rFonts w:eastAsia="Times New Roman" w:cs="Times New Roman"/>
                <w:b/>
                <w:bCs/>
                <w:color w:val="000000"/>
                <w:sz w:val="21"/>
                <w:szCs w:val="21"/>
              </w:rPr>
              <w:br/>
            </w:r>
            <w:r w:rsidRPr="00C83EF8">
              <w:rPr>
                <w:rFonts w:eastAsia="Times New Roman" w:cs="Times New Roman"/>
                <w:b/>
                <w:bCs/>
                <w:color w:val="000000"/>
                <w:sz w:val="21"/>
                <w:szCs w:val="21"/>
              </w:rPr>
              <w:br/>
            </w:r>
            <w:r w:rsidRPr="00C83EF8">
              <w:rPr>
                <w:rFonts w:eastAsia="Times New Roman" w:cs="Times New Roman"/>
                <w:b/>
                <w:bCs/>
                <w:color w:val="000000"/>
                <w:sz w:val="21"/>
                <w:szCs w:val="21"/>
              </w:rPr>
              <w:br/>
            </w:r>
            <w:r w:rsidRPr="00C83EF8">
              <w:rPr>
                <w:rFonts w:eastAsia="Times New Roman" w:cs="Times New Roman"/>
                <w:b/>
                <w:bCs/>
                <w:color w:val="000000"/>
                <w:sz w:val="21"/>
                <w:szCs w:val="21"/>
              </w:rPr>
              <w:br/>
              <w:t>Tống Thanh Hải</w:t>
            </w:r>
          </w:p>
        </w:tc>
      </w:tr>
    </w:tbl>
    <w:p w:rsidR="00C83EF8" w:rsidRPr="00C83EF8" w:rsidRDefault="00C83EF8" w:rsidP="00C83EF8">
      <w:pPr>
        <w:spacing w:before="120" w:after="100" w:afterAutospacing="1" w:line="240" w:lineRule="auto"/>
        <w:rPr>
          <w:rFonts w:eastAsia="Times New Roman" w:cs="Times New Roman"/>
          <w:color w:val="000000"/>
          <w:sz w:val="21"/>
          <w:szCs w:val="21"/>
        </w:rPr>
      </w:pP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b/>
          <w:bCs/>
          <w:color w:val="000000"/>
          <w:szCs w:val="26"/>
        </w:rPr>
        <w:t>PHỤ LỤC:</w:t>
      </w:r>
    </w:p>
    <w:p w:rsidR="00C83EF8" w:rsidRPr="00C83EF8" w:rsidRDefault="00C83EF8" w:rsidP="00C83EF8">
      <w:pPr>
        <w:spacing w:before="120" w:after="100" w:afterAutospacing="1" w:line="240" w:lineRule="auto"/>
        <w:jc w:val="center"/>
        <w:rPr>
          <w:rFonts w:eastAsia="Times New Roman" w:cs="Times New Roman"/>
          <w:color w:val="000000"/>
          <w:szCs w:val="26"/>
        </w:rPr>
      </w:pPr>
      <w:r w:rsidRPr="00C83EF8">
        <w:rPr>
          <w:rFonts w:eastAsia="Times New Roman" w:cs="Times New Roman"/>
          <w:color w:val="000000"/>
          <w:szCs w:val="26"/>
        </w:rPr>
        <w:t>PHƯƠNG ÁN ĐƠN GIẢN HÓA THỦ TỤC HÀNH CHÍNH THUỘC PHẠM VI, CHỨC NĂNG QUẢN LÝ CỦA SỞ GIÁO DỤC VÀ ĐÀO TẠO TỈNH LAI CHÂU</w:t>
      </w:r>
      <w:r w:rsidRPr="00C83EF8">
        <w:rPr>
          <w:rFonts w:eastAsia="Times New Roman" w:cs="Times New Roman"/>
          <w:color w:val="000000"/>
          <w:szCs w:val="26"/>
        </w:rPr>
        <w:br/>
        <w:t>(</w:t>
      </w:r>
      <w:r w:rsidRPr="00C83EF8">
        <w:rPr>
          <w:rFonts w:eastAsia="Times New Roman" w:cs="Times New Roman"/>
          <w:i/>
          <w:iCs/>
          <w:color w:val="000000"/>
          <w:szCs w:val="26"/>
        </w:rPr>
        <w:t>Kèm theo Quyết định số: 1005/QĐ-UBND ngày 13 tháng 7 năm 2023 của Chủ tịch UBND tỉnh Lai Châu)</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1. Thủ tục: Công nhận trường Trung học đạt chuẩn quốc gia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1.1. Nội dung đơn giản hóa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w:t>
      </w:r>
      <w:r w:rsidRPr="00C83EF8">
        <w:rPr>
          <w:rFonts w:eastAsia="Times New Roman" w:cs="Times New Roman"/>
          <w:b/>
          <w:bCs/>
          <w:color w:val="000000"/>
          <w:szCs w:val="26"/>
        </w:rPr>
        <w:t>Nội dung: </w:t>
      </w:r>
      <w:r w:rsidRPr="00C83EF8">
        <w:rPr>
          <w:rFonts w:eastAsia="Times New Roman" w:cs="Times New Roman"/>
          <w:color w:val="000000"/>
          <w:szCs w:val="26"/>
        </w:rPr>
        <w:t>Cắt giảm thời gian giải quyết thủ tục hành chính từ 120 ngày làm việc xuống 84 ngày làm việc.</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w:t>
      </w:r>
      <w:r w:rsidRPr="00C83EF8">
        <w:rPr>
          <w:rFonts w:eastAsia="Times New Roman" w:cs="Times New Roman"/>
          <w:b/>
          <w:bCs/>
          <w:color w:val="000000"/>
          <w:szCs w:val="26"/>
        </w:rPr>
        <w:t>Lý do: </w:t>
      </w:r>
      <w:r w:rsidRPr="00C83EF8">
        <w:rPr>
          <w:rFonts w:eastAsia="Times New Roman" w:cs="Times New Roman"/>
          <w:color w:val="000000"/>
          <w:szCs w:val="26"/>
        </w:rPr>
        <w:t>Quy trình giải quyết thủ tục hành chính đơn giản, không mất nhiều thời gian. Vì vậy, có thể rút ngắn thời gian giải quyết thủ tục hành chính, tạo điều kiện thuận lợi cho tổ chức và cá nhân.</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1.2. Kiến nghị thực thi: </w:t>
      </w:r>
      <w:r w:rsidRPr="00C83EF8">
        <w:rPr>
          <w:rFonts w:eastAsia="Times New Roman" w:cs="Times New Roman"/>
          <w:color w:val="000000"/>
          <w:szCs w:val="26"/>
        </w:rPr>
        <w:t>Đề nghị UBND tỉnh ban hành Quyết định công bố thực hiện giảm thời gian giải quyết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1.3. Lợi ích của phương án đơn giản hóa: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Tiết kiệm thời gian cho tổ chức, cá nhân trong quá trình thực hiện thủ tục hành chính; tăng cường trách nhiệm của công chức trong việc thực hiện giải quyết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Ước tính tần suất giải quyết TTHC trong 01 năm là: 22 hồ sơ TTHC.</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tuân thủ thực hiện thủ tục hành chính trước khi đơn giản hóa: 4.805.029.548 đồng/năm.</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tuân thủ thực hiện thủ tục hành chính sau khi đơn giản hóa: 3.325.240.204 đồng/năm.</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tiết kiệm sau khi đơn giản hóa thủ tục hành chính: 1.479.789.344 đồng/năm. Giảm được 30,8 % chi phí cho tổ chức, cá nhân khi thực hiện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Tỷ lệ cắt giảm thời gian giải quyết: 30 % so với quy định.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2. Thủ tục: Công nhận trường Tiểu học đạt chuẩn quốc gia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2.1. Nội dung đơn giản hóa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w:t>
      </w:r>
      <w:r w:rsidRPr="00C83EF8">
        <w:rPr>
          <w:rFonts w:eastAsia="Times New Roman" w:cs="Times New Roman"/>
          <w:b/>
          <w:bCs/>
          <w:color w:val="000000"/>
          <w:szCs w:val="26"/>
        </w:rPr>
        <w:t> Nội dung: </w:t>
      </w:r>
      <w:r w:rsidRPr="00C83EF8">
        <w:rPr>
          <w:rFonts w:eastAsia="Times New Roman" w:cs="Times New Roman"/>
          <w:color w:val="000000"/>
          <w:szCs w:val="26"/>
        </w:rPr>
        <w:t>Cắt giảm thời gian giải quyết thủ tục hành chính từ 120 ngày làm việc xuống 84 ngày làm việc.</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w:t>
      </w:r>
      <w:r w:rsidRPr="00C83EF8">
        <w:rPr>
          <w:rFonts w:eastAsia="Times New Roman" w:cs="Times New Roman"/>
          <w:b/>
          <w:bCs/>
          <w:color w:val="000000"/>
          <w:szCs w:val="26"/>
        </w:rPr>
        <w:t> Lý do: </w:t>
      </w:r>
      <w:r w:rsidRPr="00C83EF8">
        <w:rPr>
          <w:rFonts w:eastAsia="Times New Roman" w:cs="Times New Roman"/>
          <w:color w:val="000000"/>
          <w:szCs w:val="26"/>
        </w:rPr>
        <w:t>Quy trình giải quyết thủ tục hành chính đơn giản, không mất nhiều thời gian. Vì vậy, có thể rút ngắn thời gian giải quyết thủ tục hành chính, tạo điều kiện thuận lợi cho tổ chức và cá nhân.</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2.2. Kiến nghị thực thi: </w:t>
      </w:r>
      <w:r w:rsidRPr="00C83EF8">
        <w:rPr>
          <w:rFonts w:eastAsia="Times New Roman" w:cs="Times New Roman"/>
          <w:color w:val="000000"/>
          <w:szCs w:val="26"/>
        </w:rPr>
        <w:t>Đề nghị UBND tỉnh ban hành Quyết định công bố thực hiện giảm thời gian giải quyết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2.3. Lợi ích của phương án đơn giản hóa: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Tiết kiệm thời gian cho tổ chức, cá nhân trong quá trình thực hiện thủ tục hành chính; tăng cường trách nhiệm của công chức trong việc thực hiện giải quyết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Ước tính tần suất giải quyết TTHC trong 01 năm là: 18 hồ sơ TTHC.</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tuân thủ thực hiện thủ tục hành chính trước khi đơn giản hóa: 3.931.387.812 đồng/năm.</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tuân thủ thực hiện thủ tục hành chính sau khi đơn giản hóa: 2.720.651.076 đồng/năm.</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tiết kiệm sau khi đơn giản hóa thủ tục hành chính: 1.210.736.736 đồng/năm. Giảm được 30,8 % chi phí cho tổ chức, cá nhân khi thực hiện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Tỷ lệ thời gian cắt giảm giải quyết: 30 % so với quy định.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3. Thủ tục: Công nhận trường Mầm non đạt chuẩn quốc gia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3.1. Nội dung đơn giản hóa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w:t>
      </w:r>
      <w:r w:rsidRPr="00C83EF8">
        <w:rPr>
          <w:rFonts w:eastAsia="Times New Roman" w:cs="Times New Roman"/>
          <w:b/>
          <w:bCs/>
          <w:color w:val="000000"/>
          <w:szCs w:val="26"/>
        </w:rPr>
        <w:t> Nội dung: </w:t>
      </w:r>
      <w:r w:rsidRPr="00C83EF8">
        <w:rPr>
          <w:rFonts w:eastAsia="Times New Roman" w:cs="Times New Roman"/>
          <w:color w:val="000000"/>
          <w:szCs w:val="26"/>
        </w:rPr>
        <w:t>Cắt giảm thời gian giải quyết thủ tục hành chính từ 120 ngày làm việc xuống 84 ngày làm việc.</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w:t>
      </w:r>
      <w:r w:rsidRPr="00C83EF8">
        <w:rPr>
          <w:rFonts w:eastAsia="Times New Roman" w:cs="Times New Roman"/>
          <w:b/>
          <w:bCs/>
          <w:color w:val="000000"/>
          <w:szCs w:val="26"/>
        </w:rPr>
        <w:t> Lý do: </w:t>
      </w:r>
      <w:r w:rsidRPr="00C83EF8">
        <w:rPr>
          <w:rFonts w:eastAsia="Times New Roman" w:cs="Times New Roman"/>
          <w:color w:val="000000"/>
          <w:szCs w:val="26"/>
        </w:rPr>
        <w:t>Quy trình giải quyết thủ tục hành chính đơn giản, không mất nhiều thời gian. Vì vậy, có thể rút ngắn thời gian giải quyết thủ tục hành chính, tạo điều kiện thuận lợi cho tổ chức và cá nhân.</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3.2. Kiến nghị thực thi: </w:t>
      </w:r>
      <w:r w:rsidRPr="00C83EF8">
        <w:rPr>
          <w:rFonts w:eastAsia="Times New Roman" w:cs="Times New Roman"/>
          <w:color w:val="000000"/>
          <w:szCs w:val="26"/>
        </w:rPr>
        <w:t>Đề nghị UBND tỉnh ban hành Quyết định công bố thực hiện giảm thời gian giải quyết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b/>
          <w:bCs/>
          <w:color w:val="000000"/>
          <w:szCs w:val="26"/>
        </w:rPr>
        <w:t>3.3. Lợi ích của phương án đơn giản hóa:</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Tiết kiệm thời gian cho tổ chức, cá nhân trong quá trình thực hiện thủ tục hành chính; tăng cường trách nhiệm của công chức trong việc thực hiện giải quyết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Ước tính tần suất giải quyết TTHC trong 01 năm là: 25 hồ sơ TTHC.</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tuân thủ thực hiện thủ tục hành chính trước khi đơn giản hóa: 5.460.260.850 đồng/năm.</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tuân thủ thực hiện thủ tục hành chính sau khi đơn giản hóa: 3.778.682.050 đồng/năm.</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Chi phí tiết kiệm sau khi đơn giản hóa thủ tục hành chính: 1.681.578.800 đồng/năm. Giảm được 30,8 % chi phí cho tổ chức, cá nhân khi thực hiện thủ tục hành chính.</w:t>
      </w:r>
    </w:p>
    <w:p w:rsidR="00C83EF8" w:rsidRPr="00C83EF8" w:rsidRDefault="00C83EF8" w:rsidP="00C83EF8">
      <w:pPr>
        <w:spacing w:before="120" w:after="100" w:afterAutospacing="1" w:line="240" w:lineRule="auto"/>
        <w:rPr>
          <w:rFonts w:eastAsia="Times New Roman" w:cs="Times New Roman"/>
          <w:color w:val="000000"/>
          <w:szCs w:val="26"/>
        </w:rPr>
      </w:pPr>
      <w:r w:rsidRPr="00C83EF8">
        <w:rPr>
          <w:rFonts w:eastAsia="Times New Roman" w:cs="Times New Roman"/>
          <w:color w:val="000000"/>
          <w:szCs w:val="26"/>
        </w:rPr>
        <w:t>- Tỷ lệ thời gian cắt giảm giải quyết: 30 % so với quy định.</w:t>
      </w:r>
    </w:p>
    <w:p w:rsidR="001D0A37" w:rsidRPr="00C83EF8" w:rsidRDefault="001D0A37">
      <w:pPr>
        <w:rPr>
          <w:rFonts w:cs="Times New Roman"/>
          <w:szCs w:val="26"/>
        </w:rPr>
      </w:pPr>
    </w:p>
    <w:sectPr w:rsidR="001D0A37" w:rsidRPr="00C83EF8"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F8"/>
    <w:rsid w:val="001D0A37"/>
    <w:rsid w:val="004F7CCD"/>
    <w:rsid w:val="006D1FA6"/>
    <w:rsid w:val="00C8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7F988-96D5-4294-B9E7-52BE9CAB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EF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3EF8"/>
    <w:rPr>
      <w:b/>
      <w:bCs/>
    </w:rPr>
  </w:style>
  <w:style w:type="character" w:styleId="Emphasis">
    <w:name w:val="Emphasis"/>
    <w:basedOn w:val="DefaultParagraphFont"/>
    <w:uiPriority w:val="20"/>
    <w:qFormat/>
    <w:rsid w:val="00C83E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2023-07-18T03:37:00Z</dcterms:created>
  <dcterms:modified xsi:type="dcterms:W3CDTF">2023-07-18T03:38:00Z</dcterms:modified>
</cp:coreProperties>
</file>