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6"/>
        <w:gridCol w:w="5824"/>
      </w:tblGrid>
      <w:tr w:rsidR="00000000">
        <w:tc>
          <w:tcPr>
            <w:tcW w:w="188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A85482">
            <w:pPr>
              <w:spacing w:before="120"/>
              <w:jc w:val="center"/>
            </w:pPr>
            <w:bookmarkStart w:id="0" w:name="_GoBack"/>
            <w:bookmarkEnd w:id="0"/>
            <w:r>
              <w:rPr>
                <w:b/>
                <w:bCs/>
                <w:lang w:val="vi-VN"/>
              </w:rPr>
              <w:t>ỦY BAN NHÂN DÂN</w:t>
            </w:r>
            <w:r>
              <w:rPr>
                <w:b/>
                <w:bCs/>
              </w:rPr>
              <w:br/>
            </w:r>
            <w:r>
              <w:rPr>
                <w:b/>
                <w:bCs/>
                <w:lang w:val="vi-VN"/>
              </w:rPr>
              <w:t>TỈNH NINH THUẬN</w:t>
            </w:r>
            <w:r>
              <w:rPr>
                <w:b/>
                <w:bCs/>
                <w:lang w:val="vi-VN"/>
              </w:rPr>
              <w:br/>
              <w:t>-------</w:t>
            </w:r>
          </w:p>
        </w:tc>
        <w:tc>
          <w:tcPr>
            <w:tcW w:w="311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A8548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188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A85482">
            <w:pPr>
              <w:spacing w:before="120"/>
              <w:jc w:val="center"/>
            </w:pPr>
            <w:r>
              <w:rPr>
                <w:lang w:val="vi-VN"/>
              </w:rPr>
              <w:t xml:space="preserve">Số: </w:t>
            </w:r>
            <w:r>
              <w:t>05</w:t>
            </w:r>
            <w:r>
              <w:rPr>
                <w:lang w:val="vi-VN"/>
              </w:rPr>
              <w:t>/2019/QĐ-UBND</w:t>
            </w:r>
          </w:p>
        </w:tc>
        <w:tc>
          <w:tcPr>
            <w:tcW w:w="311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A85482">
            <w:pPr>
              <w:spacing w:before="120"/>
              <w:jc w:val="right"/>
            </w:pPr>
            <w:r>
              <w:rPr>
                <w:i/>
                <w:iCs/>
              </w:rPr>
              <w:t>Ninh Thuận</w:t>
            </w:r>
            <w:r>
              <w:rPr>
                <w:i/>
                <w:iCs/>
                <w:lang w:val="vi-VN"/>
              </w:rPr>
              <w:t xml:space="preserve">, ngày </w:t>
            </w:r>
            <w:r>
              <w:rPr>
                <w:i/>
                <w:iCs/>
              </w:rPr>
              <w:t>22</w:t>
            </w:r>
            <w:r>
              <w:rPr>
                <w:i/>
                <w:iCs/>
                <w:lang w:val="vi-VN"/>
              </w:rPr>
              <w:t xml:space="preserve"> tháng </w:t>
            </w:r>
            <w:r>
              <w:rPr>
                <w:i/>
                <w:iCs/>
              </w:rPr>
              <w:t>01</w:t>
            </w:r>
            <w:r>
              <w:rPr>
                <w:i/>
                <w:iCs/>
                <w:lang w:val="vi-VN"/>
              </w:rPr>
              <w:t xml:space="preserve"> năm</w:t>
            </w:r>
            <w:r>
              <w:rPr>
                <w:i/>
                <w:iCs/>
              </w:rPr>
              <w:t xml:space="preserve"> 2019 </w:t>
            </w:r>
          </w:p>
        </w:tc>
      </w:tr>
    </w:tbl>
    <w:p w:rsidR="00000000" w:rsidRDefault="00A85482">
      <w:pPr>
        <w:spacing w:before="120" w:after="280" w:afterAutospacing="1"/>
      </w:pPr>
      <w:r>
        <w:rPr>
          <w:color w:val="000000"/>
        </w:rPr>
        <w:t> </w:t>
      </w:r>
    </w:p>
    <w:p w:rsidR="00000000" w:rsidRDefault="00A85482">
      <w:pPr>
        <w:spacing w:before="120" w:after="280" w:afterAutospacing="1"/>
        <w:jc w:val="center"/>
      </w:pPr>
      <w:r>
        <w:rPr>
          <w:b/>
          <w:bCs/>
          <w:lang w:val="vi-VN"/>
        </w:rPr>
        <w:t>QUYẾT ĐỊNH</w:t>
      </w:r>
    </w:p>
    <w:p w:rsidR="00000000" w:rsidRDefault="00A85482">
      <w:pPr>
        <w:spacing w:before="120" w:after="280" w:afterAutospacing="1"/>
        <w:jc w:val="center"/>
      </w:pPr>
      <w:r>
        <w:rPr>
          <w:lang w:val="vi-VN"/>
        </w:rPr>
        <w:t xml:space="preserve">SỬA ĐỔI, BỔ SUNG MỘT SỐ ĐIỀU CỦA ĐIỀU LỆ TỔ CHỨC VÀ HOẠT ĐỘNG </w:t>
      </w:r>
      <w:r>
        <w:rPr>
          <w:lang w:val="vi-VN"/>
        </w:rPr>
        <w:t xml:space="preserve">CỦA </w:t>
      </w:r>
      <w:r>
        <w:t>C</w:t>
      </w:r>
      <w:r>
        <w:rPr>
          <w:lang w:val="vi-VN"/>
        </w:rPr>
        <w:t>ÔNG TY TRÁCH NHIỆM HỮU HẠN MỘT THÀNH VIÊN XỔ SỐ KIẾN THIẾT NINH THUẬN BAN HÀNH KÈM THEO QUYẾT ĐỊNH SỐ 02/2017/QĐ-UBND NGÀY 10 THÁNG 01 NĂM 2017 CỦA ỦY BAN NHÂN DÂN TỈNH N</w:t>
      </w:r>
      <w:r>
        <w:t>I</w:t>
      </w:r>
      <w:r>
        <w:rPr>
          <w:lang w:val="vi-VN"/>
        </w:rPr>
        <w:t>NH THUẬN.</w:t>
      </w:r>
    </w:p>
    <w:p w:rsidR="00000000" w:rsidRDefault="00A85482">
      <w:pPr>
        <w:spacing w:before="120" w:after="280" w:afterAutospacing="1"/>
        <w:jc w:val="center"/>
      </w:pPr>
      <w:r>
        <w:rPr>
          <w:b/>
          <w:bCs/>
          <w:lang w:val="vi-VN"/>
        </w:rPr>
        <w:t>ỦY BAN NHÂN DÂN TỈNH NINH THUẬN</w:t>
      </w:r>
    </w:p>
    <w:p w:rsidR="00000000" w:rsidRDefault="00A85482">
      <w:pPr>
        <w:spacing w:before="120" w:after="280" w:afterAutospacing="1"/>
      </w:pPr>
      <w:r>
        <w:rPr>
          <w:i/>
          <w:iCs/>
          <w:lang w:val="vi-VN"/>
        </w:rPr>
        <w:t>Căn c</w:t>
      </w:r>
      <w:r>
        <w:rPr>
          <w:i/>
          <w:iCs/>
        </w:rPr>
        <w:t xml:space="preserve">ứ </w:t>
      </w:r>
      <w:r>
        <w:rPr>
          <w:i/>
          <w:iCs/>
          <w:lang w:val="vi-VN"/>
        </w:rPr>
        <w:t>Luật tổ chức chính quyền địa ph</w:t>
      </w:r>
      <w:r>
        <w:rPr>
          <w:i/>
          <w:iCs/>
          <w:lang w:val="vi-VN"/>
        </w:rPr>
        <w:t>ương ngày 19 tháng 6 năm 2015;</w:t>
      </w:r>
    </w:p>
    <w:p w:rsidR="00000000" w:rsidRDefault="00A85482">
      <w:pPr>
        <w:spacing w:before="120" w:after="280" w:afterAutospacing="1"/>
      </w:pPr>
      <w:r>
        <w:rPr>
          <w:i/>
          <w:iCs/>
          <w:lang w:val="vi-VN"/>
        </w:rPr>
        <w:t>C</w:t>
      </w:r>
      <w:r>
        <w:rPr>
          <w:i/>
          <w:iCs/>
        </w:rPr>
        <w:t>ă</w:t>
      </w:r>
      <w:r>
        <w:rPr>
          <w:i/>
          <w:iCs/>
          <w:lang w:val="vi-VN"/>
        </w:rPr>
        <w:t>n cứ Luật ban hành văn bản quy phạm pháp luật ngày 22 tháng 6 năm 2015;</w:t>
      </w:r>
    </w:p>
    <w:p w:rsidR="00000000" w:rsidRDefault="00A85482">
      <w:pPr>
        <w:spacing w:before="120" w:after="280" w:afterAutospacing="1"/>
      </w:pPr>
      <w:r>
        <w:rPr>
          <w:i/>
          <w:iCs/>
          <w:lang w:val="vi-VN"/>
        </w:rPr>
        <w:t>Căn cứ Luật doanh nghiệp ngày 26 tháng 11 năm 2014;</w:t>
      </w:r>
    </w:p>
    <w:p w:rsidR="00000000" w:rsidRDefault="00A85482">
      <w:pPr>
        <w:spacing w:before="120" w:after="280" w:afterAutospacing="1"/>
      </w:pPr>
      <w:r>
        <w:rPr>
          <w:i/>
          <w:iCs/>
          <w:lang w:val="vi-VN"/>
        </w:rPr>
        <w:t xml:space="preserve">Căn cứ Luật quản lý, sử dụng vốn nhà nước đầu tư vào sản xuất, kinh doanh tại doanh nghiệp ngày 26 </w:t>
      </w:r>
      <w:r>
        <w:rPr>
          <w:i/>
          <w:iCs/>
          <w:lang w:val="vi-VN"/>
        </w:rPr>
        <w:t>tháng 11 năm 2014</w:t>
      </w:r>
      <w:r>
        <w:rPr>
          <w:i/>
          <w:iCs/>
        </w:rPr>
        <w:t>;</w:t>
      </w:r>
    </w:p>
    <w:p w:rsidR="00000000" w:rsidRDefault="00A85482">
      <w:pPr>
        <w:spacing w:before="120" w:after="280" w:afterAutospacing="1"/>
      </w:pPr>
      <w:r>
        <w:rPr>
          <w:i/>
          <w:iCs/>
          <w:lang w:val="vi-VN"/>
        </w:rPr>
        <w:t>Căn cứ Nghị định số 99/2012/NĐ-CP ngày 15 tháng 11 năm 2012 của Chính phủ về phân công, phân cấp thực hiện các quyền, trách nhiệm, nghĩa vụ của chủ sở hữu nhà nước đối với doanh nghiệp nhà nước và vốn nhà nhà nước đầu tư vào doanh nghiệp</w:t>
      </w:r>
      <w:r>
        <w:rPr>
          <w:i/>
          <w:iCs/>
          <w:lang w:val="vi-VN"/>
        </w:rPr>
        <w:t>;</w:t>
      </w:r>
    </w:p>
    <w:p w:rsidR="00000000" w:rsidRDefault="00A85482">
      <w:pPr>
        <w:spacing w:before="120" w:after="280" w:afterAutospacing="1"/>
      </w:pPr>
      <w:r>
        <w:rPr>
          <w:i/>
          <w:iCs/>
          <w:lang w:val="vi-VN"/>
        </w:rPr>
        <w:t>Căn cứ Nghị định số 9</w:t>
      </w:r>
      <w:r>
        <w:rPr>
          <w:i/>
          <w:iCs/>
        </w:rPr>
        <w:t>1</w:t>
      </w:r>
      <w:r>
        <w:rPr>
          <w:i/>
          <w:iCs/>
          <w:lang w:val="vi-VN"/>
        </w:rPr>
        <w:t>/2015/NĐ-CP ngày 13 tháng 10 năm 2015 của Chính phủ về đầu tư vốn Nhà nước vào doanh nghiệp và quản lý, sử dụng vốn, tài sản tại doanh nghiệp;</w:t>
      </w:r>
    </w:p>
    <w:p w:rsidR="00000000" w:rsidRDefault="00A85482">
      <w:pPr>
        <w:spacing w:before="120" w:after="280" w:afterAutospacing="1"/>
      </w:pPr>
      <w:r>
        <w:rPr>
          <w:i/>
          <w:iCs/>
          <w:lang w:val="vi-VN"/>
        </w:rPr>
        <w:t>Căn cứ Nghị định số 97/2015/NĐ-CP ngày 19 tháng 10 năm 2015 của Chính phủ về qu</w:t>
      </w:r>
      <w:r>
        <w:rPr>
          <w:i/>
          <w:iCs/>
        </w:rPr>
        <w:t>ả</w:t>
      </w:r>
      <w:r>
        <w:rPr>
          <w:i/>
          <w:iCs/>
          <w:lang w:val="vi-VN"/>
        </w:rPr>
        <w:t>n lý ngườ</w:t>
      </w:r>
      <w:r>
        <w:rPr>
          <w:i/>
          <w:iCs/>
          <w:lang w:val="vi-VN"/>
        </w:rPr>
        <w:t>i giữ chức danh, chức vụ tại doanh nghiệp là công ty trách nhiệm hữu hạn một thành viên mà Nhà nước nắm giữ 100% v</w:t>
      </w:r>
      <w:r>
        <w:rPr>
          <w:i/>
          <w:iCs/>
        </w:rPr>
        <w:t>ố</w:t>
      </w:r>
      <w:r>
        <w:rPr>
          <w:i/>
          <w:iCs/>
          <w:lang w:val="vi-VN"/>
        </w:rPr>
        <w:t>n điều lệ;</w:t>
      </w:r>
    </w:p>
    <w:p w:rsidR="00000000" w:rsidRDefault="00A85482">
      <w:pPr>
        <w:spacing w:before="120" w:after="280" w:afterAutospacing="1"/>
      </w:pPr>
      <w:r>
        <w:rPr>
          <w:i/>
          <w:iCs/>
          <w:lang w:val="vi-VN"/>
        </w:rPr>
        <w:t>Căn cứ Nghị định số 32/2018/NĐ-CP ngày 08 tháng 3 năm 2018 của Chính phủ sửa đổi, bổ sung một số điều của Nghị định số 91/2015/NĐ-</w:t>
      </w:r>
      <w:r>
        <w:rPr>
          <w:i/>
          <w:iCs/>
          <w:lang w:val="vi-VN"/>
        </w:rPr>
        <w:t xml:space="preserve">CP ngày 13/10/2015 của Chính phủ về đầu tư vốn nhà nước vào doanh nghiệp và quản lý, sử dụng </w:t>
      </w:r>
      <w:r>
        <w:rPr>
          <w:i/>
          <w:iCs/>
        </w:rPr>
        <w:t>vố</w:t>
      </w:r>
      <w:r>
        <w:rPr>
          <w:i/>
          <w:iCs/>
          <w:lang w:val="vi-VN"/>
        </w:rPr>
        <w:t>n, tài sản tại doanh nghiệp;</w:t>
      </w:r>
    </w:p>
    <w:p w:rsidR="00000000" w:rsidRDefault="00A85482">
      <w:pPr>
        <w:spacing w:before="120" w:after="280" w:afterAutospacing="1"/>
      </w:pPr>
      <w:r>
        <w:rPr>
          <w:i/>
          <w:iCs/>
          <w:lang w:val="vi-VN"/>
        </w:rPr>
        <w:t>Căn cứ Thông tư số 2</w:t>
      </w:r>
      <w:r>
        <w:rPr>
          <w:i/>
          <w:iCs/>
        </w:rPr>
        <w:t>1</w:t>
      </w:r>
      <w:r>
        <w:rPr>
          <w:i/>
          <w:iCs/>
          <w:lang w:val="vi-VN"/>
        </w:rPr>
        <w:t>9/2015/TT-BTC ngày 31 tháng 12 năm 2015 của Bộ trưởng Bộ Tài chính hướng dẫn một số nội dung của Nghị định số 9</w:t>
      </w:r>
      <w:r>
        <w:rPr>
          <w:i/>
          <w:iCs/>
          <w:lang w:val="vi-VN"/>
        </w:rPr>
        <w:t>1/2015/NĐ-CP ngày 13/10/2015 của Chính phủ về đầu tư vốn Nhà nước vào doanh ngh</w:t>
      </w:r>
      <w:r>
        <w:rPr>
          <w:i/>
          <w:iCs/>
        </w:rPr>
        <w:t>i</w:t>
      </w:r>
      <w:r>
        <w:rPr>
          <w:i/>
          <w:iCs/>
          <w:lang w:val="vi-VN"/>
        </w:rPr>
        <w:t>ệp và quản lý, sử dụng vốn, tài sản tại doanh nghiệp;</w:t>
      </w:r>
    </w:p>
    <w:p w:rsidR="00000000" w:rsidRDefault="00A85482">
      <w:pPr>
        <w:spacing w:before="120" w:after="280" w:afterAutospacing="1"/>
      </w:pPr>
      <w:r>
        <w:rPr>
          <w:i/>
          <w:iCs/>
          <w:lang w:val="vi-VN"/>
        </w:rPr>
        <w:t>Căn cứ Thông tư số 59/2018/TT-BT</w:t>
      </w:r>
      <w:r>
        <w:rPr>
          <w:i/>
          <w:iCs/>
        </w:rPr>
        <w:t xml:space="preserve">C </w:t>
      </w:r>
      <w:r>
        <w:rPr>
          <w:i/>
          <w:iCs/>
          <w:lang w:val="vi-VN"/>
        </w:rPr>
        <w:t>ngày 16 tháng 7 năm 2018 của Bộ trưởng Bộ Tài chính về sửa đổi, bổ sung một số điều Thôn</w:t>
      </w:r>
      <w:r>
        <w:rPr>
          <w:i/>
          <w:iCs/>
          <w:lang w:val="vi-VN"/>
        </w:rPr>
        <w:t xml:space="preserve">g tư số 219/2015/TT-BTC ngày 31/12/2015 của Bộ trưởng Bộ </w:t>
      </w:r>
      <w:r>
        <w:rPr>
          <w:i/>
          <w:iCs/>
          <w:lang w:val="vi-VN"/>
        </w:rPr>
        <w:lastRenderedPageBreak/>
        <w:t>Tài chính về đầu tư vốn nhà nước vào doanh nghiệp và quản lý, sử dụng vốn, tài sản tại doanh nghiệp;</w:t>
      </w:r>
    </w:p>
    <w:p w:rsidR="00000000" w:rsidRDefault="00A85482">
      <w:pPr>
        <w:spacing w:before="120" w:after="280" w:afterAutospacing="1"/>
      </w:pPr>
      <w:r>
        <w:rPr>
          <w:i/>
          <w:iCs/>
          <w:lang w:val="vi-VN"/>
        </w:rPr>
        <w:t xml:space="preserve">Căn cứ Quyết định số 02/2017/QĐ-UBND ngày 10 tháng 01 năm 2017 của Ủy ban nhân dân tỉnh phê duyệt </w:t>
      </w:r>
      <w:r>
        <w:rPr>
          <w:i/>
          <w:iCs/>
          <w:lang w:val="vi-VN"/>
        </w:rPr>
        <w:t>Điều lệ t</w:t>
      </w:r>
      <w:r>
        <w:rPr>
          <w:i/>
          <w:iCs/>
        </w:rPr>
        <w:t>ổ</w:t>
      </w:r>
      <w:r>
        <w:rPr>
          <w:i/>
          <w:iCs/>
          <w:lang w:val="vi-VN"/>
        </w:rPr>
        <w:t xml:space="preserve"> c</w:t>
      </w:r>
      <w:r>
        <w:rPr>
          <w:i/>
          <w:iCs/>
        </w:rPr>
        <w:t xml:space="preserve">hức </w:t>
      </w:r>
      <w:r>
        <w:rPr>
          <w:i/>
          <w:iCs/>
          <w:lang w:val="vi-VN"/>
        </w:rPr>
        <w:t>hoạt động của Công ty trách nhiệm Hữu hạn một thành viên X</w:t>
      </w:r>
      <w:r>
        <w:rPr>
          <w:i/>
          <w:iCs/>
        </w:rPr>
        <w:t>ổ</w:t>
      </w:r>
      <w:r>
        <w:rPr>
          <w:i/>
          <w:iCs/>
          <w:lang w:val="vi-VN"/>
        </w:rPr>
        <w:t xml:space="preserve"> s</w:t>
      </w:r>
      <w:r>
        <w:rPr>
          <w:i/>
          <w:iCs/>
        </w:rPr>
        <w:t>ố</w:t>
      </w:r>
      <w:r>
        <w:rPr>
          <w:i/>
          <w:iCs/>
          <w:lang w:val="vi-VN"/>
        </w:rPr>
        <w:t xml:space="preserve"> ki</w:t>
      </w:r>
      <w:r>
        <w:rPr>
          <w:i/>
          <w:iCs/>
        </w:rPr>
        <w:t>ế</w:t>
      </w:r>
      <w:r>
        <w:rPr>
          <w:i/>
          <w:iCs/>
          <w:lang w:val="vi-VN"/>
        </w:rPr>
        <w:t xml:space="preserve">n thiết Ninh Thuận và Quyết định số </w:t>
      </w:r>
      <w:r>
        <w:rPr>
          <w:i/>
          <w:iCs/>
        </w:rPr>
        <w:t>1</w:t>
      </w:r>
      <w:r>
        <w:rPr>
          <w:i/>
          <w:iCs/>
          <w:lang w:val="vi-VN"/>
        </w:rPr>
        <w:t>6</w:t>
      </w:r>
      <w:r>
        <w:rPr>
          <w:i/>
          <w:iCs/>
        </w:rPr>
        <w:t>1</w:t>
      </w:r>
      <w:r>
        <w:rPr>
          <w:i/>
          <w:iCs/>
          <w:lang w:val="vi-VN"/>
        </w:rPr>
        <w:t>6/QĐ-UBND ngày 03 tháng 10 năm 2018 của Ủy ban nhân dân tỉnh về việc điều chỉnh tăng vốn điều lệ của Công ty trách nhiệm hữu hạn một th</w:t>
      </w:r>
      <w:r>
        <w:rPr>
          <w:i/>
          <w:iCs/>
          <w:lang w:val="vi-VN"/>
        </w:rPr>
        <w:t xml:space="preserve">ành viên </w:t>
      </w:r>
      <w:r>
        <w:rPr>
          <w:i/>
          <w:iCs/>
        </w:rPr>
        <w:t xml:space="preserve">xổ </w:t>
      </w:r>
      <w:r>
        <w:rPr>
          <w:i/>
          <w:iCs/>
          <w:lang w:val="vi-VN"/>
        </w:rPr>
        <w:t>số kiến thiết Ninh Thuận;</w:t>
      </w:r>
    </w:p>
    <w:p w:rsidR="00000000" w:rsidRDefault="00A85482">
      <w:pPr>
        <w:spacing w:before="120" w:after="280" w:afterAutospacing="1"/>
      </w:pPr>
      <w:r>
        <w:rPr>
          <w:i/>
          <w:iCs/>
          <w:lang w:val="vi-VN"/>
        </w:rPr>
        <w:t>Theo đề nghị của Giám đốc Sở Tài chính tại Tờ trình số 3572/TTr-STC ngày 25/12/2018.</w:t>
      </w:r>
    </w:p>
    <w:p w:rsidR="00000000" w:rsidRDefault="00A85482">
      <w:pPr>
        <w:spacing w:before="120" w:after="280" w:afterAutospacing="1"/>
        <w:jc w:val="center"/>
      </w:pPr>
      <w:r>
        <w:rPr>
          <w:b/>
          <w:bCs/>
          <w:lang w:val="vi-VN"/>
        </w:rPr>
        <w:t>QUYẾT ĐỊNH:</w:t>
      </w:r>
    </w:p>
    <w:p w:rsidR="00000000" w:rsidRDefault="00A85482">
      <w:pPr>
        <w:spacing w:before="120" w:after="280" w:afterAutospacing="1"/>
      </w:pPr>
      <w:bookmarkStart w:id="1" w:name="dieu_1"/>
      <w:r>
        <w:rPr>
          <w:b/>
          <w:bCs/>
          <w:lang w:val="vi-VN"/>
        </w:rPr>
        <w:t>Điều 1.</w:t>
      </w:r>
      <w:bookmarkEnd w:id="1"/>
      <w:r>
        <w:rPr>
          <w:b/>
          <w:bCs/>
          <w:lang w:val="vi-VN"/>
        </w:rPr>
        <w:t xml:space="preserve"> </w:t>
      </w:r>
      <w:bookmarkStart w:id="2" w:name="dieu_1_name"/>
      <w:r>
        <w:rPr>
          <w:lang w:val="vi-VN"/>
        </w:rPr>
        <w:t>Sửa đổi, bổ sung một số điều của Điều lệ tổ chức và hoạt động của Công ty trách nhiệm hữu hạn một thành viên xổ s</w:t>
      </w:r>
      <w:r>
        <w:rPr>
          <w:lang w:val="vi-VN"/>
        </w:rPr>
        <w:t>ố kiến thiết Ninh Thuận ban hành kèm theo Quyết định số 02/2017/QĐ-UBND ngày 10 tháng 01 năm 2017 của Ủy ban nhân dân tỉnh Ninh Thuận.</w:t>
      </w:r>
      <w:bookmarkEnd w:id="2"/>
    </w:p>
    <w:p w:rsidR="00000000" w:rsidRDefault="00A85482">
      <w:pPr>
        <w:spacing w:before="120" w:after="280" w:afterAutospacing="1"/>
      </w:pPr>
      <w:r>
        <w:rPr>
          <w:lang w:val="vi-VN"/>
        </w:rPr>
        <w:t>Điều 5 được s</w:t>
      </w:r>
      <w:r>
        <w:t>ử</w:t>
      </w:r>
      <w:r>
        <w:rPr>
          <w:lang w:val="vi-VN"/>
        </w:rPr>
        <w:t>a đổi, bổ sung như sau:</w:t>
      </w:r>
    </w:p>
    <w:p w:rsidR="00000000" w:rsidRDefault="00A85482">
      <w:pPr>
        <w:spacing w:before="120" w:after="280" w:afterAutospacing="1"/>
      </w:pPr>
      <w:r>
        <w:rPr>
          <w:b/>
          <w:bCs/>
          <w:lang w:val="vi-VN"/>
        </w:rPr>
        <w:t>“ Điều 5. Mức v</w:t>
      </w:r>
      <w:r>
        <w:rPr>
          <w:b/>
          <w:bCs/>
        </w:rPr>
        <w:t>ố</w:t>
      </w:r>
      <w:r>
        <w:rPr>
          <w:b/>
          <w:bCs/>
          <w:lang w:val="vi-VN"/>
        </w:rPr>
        <w:t>n điều lệ</w:t>
      </w:r>
    </w:p>
    <w:p w:rsidR="00000000" w:rsidRDefault="00A85482">
      <w:pPr>
        <w:spacing w:before="120" w:after="280" w:afterAutospacing="1"/>
      </w:pPr>
      <w:r>
        <w:rPr>
          <w:lang w:val="vi-VN"/>
        </w:rPr>
        <w:t>Vốn điều lệ của Công ty 75 tỷ đồng (Bảy mươi lăm tỷ đồng)</w:t>
      </w:r>
      <w:r>
        <w:rPr>
          <w:lang w:val="vi-VN"/>
        </w:rPr>
        <w:t>”.</w:t>
      </w:r>
    </w:p>
    <w:p w:rsidR="00000000" w:rsidRDefault="00A85482">
      <w:pPr>
        <w:spacing w:before="120" w:after="280" w:afterAutospacing="1"/>
      </w:pPr>
      <w:r>
        <w:rPr>
          <w:b/>
          <w:bCs/>
          <w:lang w:val="vi-VN"/>
        </w:rPr>
        <w:t>Đ</w:t>
      </w:r>
      <w:r>
        <w:rPr>
          <w:b/>
          <w:bCs/>
        </w:rPr>
        <w:t>i</w:t>
      </w:r>
      <w:r>
        <w:rPr>
          <w:b/>
          <w:bCs/>
          <w:lang w:val="vi-VN"/>
        </w:rPr>
        <w:t>ều 2. Tổ chức thực hiện</w:t>
      </w:r>
    </w:p>
    <w:p w:rsidR="00000000" w:rsidRDefault="00A85482">
      <w:pPr>
        <w:spacing w:before="120" w:after="280" w:afterAutospacing="1"/>
      </w:pPr>
      <w:r>
        <w:rPr>
          <w:lang w:val="vi-VN"/>
        </w:rPr>
        <w:t>1. Giao Sở Tài chính chủ trì, phối hợp với các cơ qu</w:t>
      </w:r>
      <w:r>
        <w:t>a</w:t>
      </w:r>
      <w:r>
        <w:rPr>
          <w:lang w:val="vi-VN"/>
        </w:rPr>
        <w:t>n có liên quan theo dõi, hướng dẫn và kiểm tra việc thực hiện Quyết định này.</w:t>
      </w:r>
    </w:p>
    <w:p w:rsidR="00000000" w:rsidRDefault="00A85482">
      <w:pPr>
        <w:spacing w:before="120" w:after="280" w:afterAutospacing="1"/>
      </w:pPr>
      <w:r>
        <w:rPr>
          <w:lang w:val="vi-VN"/>
        </w:rPr>
        <w:t>2. Những nội dung không sửa đổi, bổ sung tại Quyết định này thực hiện theo Điều lệ và tổ chức ho</w:t>
      </w:r>
      <w:r>
        <w:rPr>
          <w:lang w:val="vi-VN"/>
        </w:rPr>
        <w:t>ạt động của Công ty trách nhiệm hữu hạn một thành viên X</w:t>
      </w:r>
      <w:r>
        <w:t xml:space="preserve">ổ </w:t>
      </w:r>
      <w:r>
        <w:rPr>
          <w:lang w:val="vi-VN"/>
        </w:rPr>
        <w:t>số kiến thiết Ninh Thuận ban hành kèm theo Quyết định số 02/2017/QĐ-UBND ngày 10/01/2017 của UBND tỉnh Ninh Thuận.</w:t>
      </w:r>
    </w:p>
    <w:p w:rsidR="00000000" w:rsidRDefault="00A85482">
      <w:pPr>
        <w:spacing w:before="120" w:after="280" w:afterAutospacing="1"/>
      </w:pPr>
      <w:r>
        <w:rPr>
          <w:b/>
          <w:bCs/>
          <w:lang w:val="vi-VN"/>
        </w:rPr>
        <w:t>Điều 3. Điều khoản thi hành</w:t>
      </w:r>
    </w:p>
    <w:p w:rsidR="00000000" w:rsidRDefault="00A85482">
      <w:pPr>
        <w:spacing w:before="120" w:after="280" w:afterAutospacing="1"/>
      </w:pPr>
      <w:r>
        <w:rPr>
          <w:lang w:val="vi-VN"/>
        </w:rPr>
        <w:t xml:space="preserve">1. Quyết định này có hiệu lực từ ngày </w:t>
      </w:r>
      <w:r>
        <w:t>02 t</w:t>
      </w:r>
      <w:r>
        <w:rPr>
          <w:lang w:val="vi-VN"/>
        </w:rPr>
        <w:t xml:space="preserve">háng </w:t>
      </w:r>
      <w:r>
        <w:t xml:space="preserve">02 </w:t>
      </w:r>
      <w:r>
        <w:rPr>
          <w:lang w:val="vi-VN"/>
        </w:rPr>
        <w:t>năm 2</w:t>
      </w:r>
      <w:r>
        <w:rPr>
          <w:lang w:val="vi-VN"/>
        </w:rPr>
        <w:t>019.</w:t>
      </w:r>
    </w:p>
    <w:p w:rsidR="00000000" w:rsidRDefault="00A85482">
      <w:pPr>
        <w:spacing w:before="120" w:after="280" w:afterAutospacing="1"/>
      </w:pPr>
      <w:r>
        <w:rPr>
          <w:lang w:val="vi-VN"/>
        </w:rPr>
        <w:t xml:space="preserve">2. Chánh Văn phòng Ủy ban nhân dân tỉnh, Giám đốc Sở, Thủ trưởng các Ban, ngành thuộc Ủy ban nhân dân tỉnh; Ban chỉ đạo đổi mới và phát triển doanh nghiệp tỉnh, Chủ tịch Công ty trách nhiệm hữu hạn một thành viên xổ số kiến thiết Ninh Thuận, Chủ tịch </w:t>
      </w:r>
      <w:r>
        <w:rPr>
          <w:lang w:val="vi-VN"/>
        </w:rPr>
        <w:t>Ủy ban nhân dân các huyện, thành phố và thủ trưởng các cơ quan, đơn vị có liên quan chịu trách nhiệm thi hành Quyết định này./.</w:t>
      </w:r>
    </w:p>
    <w:p w:rsidR="00000000" w:rsidRDefault="00A85482">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7"/>
        <w:gridCol w:w="4673"/>
      </w:tblGrid>
      <w:tr w:rsidR="00000000">
        <w:tc>
          <w:tcPr>
            <w:tcW w:w="2504"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A85482">
            <w:pPr>
              <w:spacing w:before="120"/>
            </w:pPr>
            <w:r>
              <w:br/>
            </w:r>
            <w:r>
              <w:rPr>
                <w:b/>
                <w:bCs/>
                <w:i/>
                <w:iCs/>
                <w:lang w:val="vi-VN"/>
              </w:rPr>
              <w:t>Nơi nhận:</w:t>
            </w:r>
            <w:r>
              <w:rPr>
                <w:b/>
                <w:bCs/>
                <w:i/>
                <w:iCs/>
                <w:lang w:val="vi-VN"/>
              </w:rPr>
              <w:br/>
            </w:r>
            <w:r>
              <w:rPr>
                <w:sz w:val="16"/>
                <w:lang w:val="vi-VN"/>
              </w:rPr>
              <w:lastRenderedPageBreak/>
              <w:t>- Như điều 3;</w:t>
            </w:r>
            <w:r>
              <w:rPr>
                <w:sz w:val="16"/>
              </w:rPr>
              <w:br/>
            </w:r>
            <w:r>
              <w:rPr>
                <w:sz w:val="16"/>
                <w:lang w:val="vi-VN"/>
              </w:rPr>
              <w:t>- Văn phòng Chính phủ;</w:t>
            </w:r>
            <w:r>
              <w:rPr>
                <w:sz w:val="16"/>
              </w:rPr>
              <w:br/>
            </w:r>
            <w:r>
              <w:rPr>
                <w:sz w:val="16"/>
                <w:lang w:val="vi-VN"/>
              </w:rPr>
              <w:t>- Cục Kiểm tra văn bản QPPL-B</w:t>
            </w:r>
            <w:r>
              <w:rPr>
                <w:sz w:val="16"/>
              </w:rPr>
              <w:t>ộ</w:t>
            </w:r>
            <w:r>
              <w:rPr>
                <w:sz w:val="16"/>
                <w:lang w:val="vi-VN"/>
              </w:rPr>
              <w:t xml:space="preserve"> Tư pháp;</w:t>
            </w:r>
            <w:r>
              <w:rPr>
                <w:sz w:val="16"/>
              </w:rPr>
              <w:br/>
            </w:r>
            <w:r>
              <w:rPr>
                <w:sz w:val="16"/>
                <w:lang w:val="vi-VN"/>
              </w:rPr>
              <w:t>- Vụ Pháp chế-B</w:t>
            </w:r>
            <w:r>
              <w:rPr>
                <w:sz w:val="16"/>
              </w:rPr>
              <w:t>ộ</w:t>
            </w:r>
            <w:r>
              <w:rPr>
                <w:sz w:val="16"/>
                <w:lang w:val="vi-VN"/>
              </w:rPr>
              <w:t xml:space="preserve"> Tài</w:t>
            </w:r>
            <w:r>
              <w:rPr>
                <w:sz w:val="16"/>
              </w:rPr>
              <w:t xml:space="preserve"> c</w:t>
            </w:r>
            <w:r>
              <w:rPr>
                <w:sz w:val="16"/>
                <w:lang w:val="vi-VN"/>
              </w:rPr>
              <w:t>hính;</w:t>
            </w:r>
            <w:r>
              <w:rPr>
                <w:sz w:val="16"/>
              </w:rPr>
              <w:br/>
            </w:r>
            <w:r>
              <w:rPr>
                <w:sz w:val="16"/>
                <w:lang w:val="vi-VN"/>
              </w:rPr>
              <w:t xml:space="preserve">- Cục Tài </w:t>
            </w:r>
            <w:r>
              <w:rPr>
                <w:sz w:val="16"/>
                <w:lang w:val="vi-VN"/>
              </w:rPr>
              <w:t>chính doanh nghiệp (b/c);</w:t>
            </w:r>
            <w:r>
              <w:rPr>
                <w:sz w:val="16"/>
              </w:rPr>
              <w:br/>
            </w:r>
            <w:r>
              <w:rPr>
                <w:sz w:val="16"/>
                <w:lang w:val="vi-VN"/>
              </w:rPr>
              <w:t>- Đoàn ĐBQH tỉnh;</w:t>
            </w:r>
            <w:r>
              <w:rPr>
                <w:sz w:val="16"/>
              </w:rPr>
              <w:br/>
            </w:r>
            <w:r>
              <w:rPr>
                <w:sz w:val="16"/>
                <w:lang w:val="vi-VN"/>
              </w:rPr>
              <w:t>- TT Tỉnh ủy, TT HĐND tỉnh;</w:t>
            </w:r>
            <w:r>
              <w:rPr>
                <w:sz w:val="16"/>
              </w:rPr>
              <w:br/>
            </w:r>
            <w:r>
              <w:rPr>
                <w:sz w:val="16"/>
                <w:lang w:val="vi-VN"/>
              </w:rPr>
              <w:t>- TT.HĐND các huyện, thành phố;</w:t>
            </w:r>
            <w:r>
              <w:rPr>
                <w:sz w:val="16"/>
              </w:rPr>
              <w:br/>
            </w:r>
            <w:r>
              <w:rPr>
                <w:sz w:val="16"/>
                <w:lang w:val="vi-VN"/>
              </w:rPr>
              <w:t>- Trung tâm Tin học-Công báo tỉnh;</w:t>
            </w:r>
            <w:r>
              <w:rPr>
                <w:sz w:val="16"/>
              </w:rPr>
              <w:br/>
            </w:r>
            <w:r>
              <w:rPr>
                <w:sz w:val="16"/>
                <w:lang w:val="vi-VN"/>
              </w:rPr>
              <w:t>- Cổng thông tin điện tử tỉnh;</w:t>
            </w:r>
            <w:r>
              <w:rPr>
                <w:sz w:val="16"/>
              </w:rPr>
              <w:br/>
            </w:r>
            <w:r>
              <w:rPr>
                <w:sz w:val="16"/>
                <w:lang w:val="vi-VN"/>
              </w:rPr>
              <w:t>- CT, các PCT UBND tỉnh;</w:t>
            </w:r>
            <w:r>
              <w:rPr>
                <w:sz w:val="16"/>
              </w:rPr>
              <w:br/>
            </w:r>
            <w:r>
              <w:rPr>
                <w:sz w:val="16"/>
                <w:lang w:val="vi-VN"/>
              </w:rPr>
              <w:t>- Lưu: VP</w:t>
            </w:r>
            <w:r>
              <w:rPr>
                <w:sz w:val="16"/>
              </w:rPr>
              <w:t>U</w:t>
            </w:r>
            <w:r>
              <w:rPr>
                <w:sz w:val="16"/>
                <w:lang w:val="vi-VN"/>
              </w:rPr>
              <w:t>B</w:t>
            </w:r>
            <w:r>
              <w:rPr>
                <w:sz w:val="16"/>
              </w:rPr>
              <w:t>,</w:t>
            </w:r>
            <w:r>
              <w:rPr>
                <w:sz w:val="16"/>
              </w:rPr>
              <w:br/>
            </w:r>
            <w:r>
              <w:rPr>
                <w:sz w:val="16"/>
                <w:lang w:val="vi-VN"/>
              </w:rPr>
              <w:t>LTP.</w:t>
            </w:r>
          </w:p>
        </w:tc>
        <w:tc>
          <w:tcPr>
            <w:tcW w:w="249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A85482">
            <w:pPr>
              <w:spacing w:before="120"/>
              <w:jc w:val="center"/>
            </w:pPr>
            <w:r>
              <w:rPr>
                <w:b/>
                <w:bCs/>
              </w:rPr>
              <w:lastRenderedPageBreak/>
              <w:t>TM. ỦY BAN NHÂN DÂN</w:t>
            </w:r>
            <w:r>
              <w:rPr>
                <w:b/>
                <w:bCs/>
              </w:rPr>
              <w:br/>
              <w:t>CHỦ TỊCH</w:t>
            </w:r>
            <w:r>
              <w:rPr>
                <w:b/>
                <w:bCs/>
              </w:rPr>
              <w:br/>
            </w:r>
            <w:r>
              <w:rPr>
                <w:b/>
                <w:bCs/>
              </w:rPr>
              <w:lastRenderedPageBreak/>
              <w:br/>
            </w:r>
            <w:r>
              <w:rPr>
                <w:b/>
                <w:bCs/>
              </w:rPr>
              <w:br/>
            </w:r>
            <w:r>
              <w:rPr>
                <w:b/>
                <w:bCs/>
              </w:rPr>
              <w:br/>
            </w:r>
            <w:r>
              <w:rPr>
                <w:b/>
                <w:bCs/>
              </w:rPr>
              <w:br/>
              <w:t>Lưu Xuân V</w:t>
            </w:r>
            <w:r>
              <w:rPr>
                <w:b/>
                <w:bCs/>
              </w:rPr>
              <w:t>ĩnh</w:t>
            </w:r>
          </w:p>
        </w:tc>
      </w:tr>
    </w:tbl>
    <w:p w:rsidR="00A85482" w:rsidRDefault="00A85482">
      <w:pPr>
        <w:spacing w:before="120" w:after="280" w:afterAutospacing="1"/>
      </w:pPr>
      <w:r>
        <w:rPr>
          <w:b/>
          <w:bCs/>
          <w:color w:val="000000"/>
        </w:rPr>
        <w:lastRenderedPageBreak/>
        <w:t> </w:t>
      </w:r>
    </w:p>
    <w:sectPr w:rsidR="00A8548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4AE"/>
    <w:rsid w:val="008A04AE"/>
    <w:rsid w:val="00A8548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650</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2022-09-19T07:49:00Z</dcterms:created>
  <dcterms:modified xsi:type="dcterms:W3CDTF">2022-09-19T07:49:00Z</dcterms:modified>
</cp:coreProperties>
</file>